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jc w:val="center"/>
      </w:pPr>
    </w:p>
    <w:p>
      <w:pPr>
        <w:spacing w:line="480" w:lineRule="auto" w:before="0" w:after="0"/>
        <w:jc w:val="center"/>
      </w:pPr>
    </w:p>
    <w:p>
      <w:pPr>
        <w:spacing w:line="480" w:lineRule="auto" w:before="0" w:after="0"/>
        <w:jc w:val="center"/>
      </w:pPr>
    </w:p>
    <w:p>
      <w:pPr>
        <w:spacing w:line="480" w:lineRule="auto" w:before="0" w:after="0"/>
        <w:jc w:val="center"/>
      </w:pPr>
    </w:p>
    <w:p>
      <w:pPr>
        <w:spacing w:line="480" w:lineRule="auto" w:before="0" w:after="0"/>
        <w:jc w:val="center"/>
      </w:pPr>
      <w:r>
        <w:rPr>
          <w:rFonts w:ascii="Times New Roman" w:hAnsi="Times New Roman" w:eastAsia="Times New Roman"/>
          <w:b/>
          <w:sz w:val="24"/>
        </w:rPr>
        <w:t>Big Five Personality Traits and Academic Achievement in Online Learning Environments: A Scoping Review with Exploratory Quantitative Synthesis</w:t>
      </w:r>
    </w:p>
    <w:p>
      <w:pPr>
        <w:spacing w:line="480" w:lineRule="auto" w:before="0" w:after="0"/>
        <w:jc w:val="center"/>
      </w:pPr>
    </w:p>
    <w:p>
      <w:pPr>
        <w:spacing w:line="480" w:lineRule="auto" w:before="0" w:after="0"/>
        <w:jc w:val="center"/>
      </w:pPr>
      <w:r>
        <w:rPr>
          <w:rFonts w:ascii="Times New Roman" w:hAnsi="Times New Roman" w:eastAsia="Times New Roman"/>
          <w:sz w:val="24"/>
        </w:rPr>
        <w:t>Eisuke Tokiwa</w:t>
      </w:r>
    </w:p>
    <w:p>
      <w:pPr>
        <w:spacing w:line="480" w:lineRule="auto" w:before="0" w:after="0"/>
        <w:jc w:val="center"/>
      </w:pPr>
      <w:r>
        <w:rPr>
          <w:rFonts w:ascii="Times New Roman" w:hAnsi="Times New Roman" w:eastAsia="Times New Roman"/>
          <w:sz w:val="24"/>
        </w:rPr>
        <w:t>SUNBLAZE Co., Ltd., Tokyo, Japan</w:t>
      </w:r>
    </w:p>
    <w:p>
      <w:pPr>
        <w:spacing w:line="480" w:lineRule="auto" w:before="0" w:after="0"/>
        <w:jc w:val="center"/>
      </w:pPr>
    </w:p>
    <w:p>
      <w:pPr>
        <w:spacing w:line="480" w:lineRule="auto" w:before="0" w:after="0"/>
        <w:jc w:val="center"/>
      </w:pPr>
    </w:p>
    <w:p>
      <w:pPr>
        <w:spacing w:line="480" w:lineRule="auto" w:before="0" w:after="0"/>
        <w:jc w:val="center"/>
      </w:pPr>
      <w:r>
        <w:rPr>
          <w:rFonts w:ascii="Times New Roman" w:hAnsi="Times New Roman" w:eastAsia="Times New Roman"/>
          <w:b/>
          <w:sz w:val="24"/>
        </w:rPr>
        <w:t>Author Note</w:t>
      </w:r>
    </w:p>
    <w:p>
      <w:pPr>
        <w:spacing w:line="480" w:lineRule="auto" w:before="0" w:after="0"/>
        <w:ind w:firstLine="720"/>
      </w:pPr>
      <w:r>
        <w:rPr>
          <w:rFonts w:ascii="Times New Roman" w:hAnsi="Times New Roman" w:eastAsia="Times New Roman"/>
          <w:sz w:val="24"/>
        </w:rPr>
        <w:t>Eisuke Tokiwa https://orcid.org/0009-0009-7124-6669</w:t>
      </w:r>
    </w:p>
    <w:p>
      <w:pPr>
        <w:spacing w:line="480" w:lineRule="auto" w:before="0" w:after="0"/>
        <w:ind w:firstLine="720"/>
      </w:pPr>
      <w:r>
        <w:rPr>
          <w:rFonts w:ascii="Times New Roman" w:hAnsi="Times New Roman" w:eastAsia="Times New Roman"/>
          <w:sz w:val="24"/>
        </w:rPr>
        <w:t>The author has no known conflict of interest to disclose beyond that stated in the Declarations section, where a pre-specified sensitivity analysis addresses the author's own potentially eligible primary study. This research received no external funding. The scoping review was pre-registered on OSF Registries (https://doi.org/10.17605/OSF.IO/E5W47) prior to data extraction, and all data, analysis code, and supplementary materials are publicly available in the associated OSF project (https://doi.org/10.17605/OSF.IO/79M5J).</w:t>
      </w:r>
    </w:p>
    <w:p>
      <w:pPr>
        <w:spacing w:line="480" w:lineRule="auto" w:before="0" w:after="0"/>
        <w:ind w:firstLine="720"/>
      </w:pPr>
      <w:r>
        <w:rPr>
          <w:rFonts w:ascii="Times New Roman" w:hAnsi="Times New Roman" w:eastAsia="Times New Roman"/>
          <w:sz w:val="24"/>
        </w:rPr>
        <w:t>Correspondence concerning this article should be addressed to Eisuke Tokiwa, SUNBLAZE Co., Ltd., Tokyo, Japan. Email: eisuke.tokiwa@sunblaze.jp</w:t>
      </w:r>
    </w:p>
    <w:p>
      <w:r>
        <w:br w:type="page"/>
      </w:r>
    </w:p>
    <w:p>
      <w:pPr>
        <w:spacing w:line="480" w:lineRule="auto" w:before="0" w:after="0"/>
      </w:pPr>
    </w:p>
    <w:p>
      <w:pPr>
        <w:spacing w:line="480" w:lineRule="auto" w:before="0" w:after="0"/>
      </w:pPr>
      <w:r>
        <w:rPr>
          <w:rFonts w:ascii="Times New Roman" w:hAnsi="Times New Roman" w:eastAsia="Times New Roman"/>
          <w:b/>
          <w:sz w:val="24"/>
        </w:rPr>
        <w:t>Declarations</w:t>
      </w:r>
    </w:p>
    <w:p>
      <w:pPr>
        <w:spacing w:line="480" w:lineRule="auto" w:before="0" w:after="0"/>
      </w:pPr>
      <w:r>
        <w:rPr>
          <w:rFonts w:ascii="Times New Roman" w:hAnsi="Times New Roman" w:eastAsia="Times New Roman"/>
          <w:b/>
          <w:sz w:val="24"/>
        </w:rPr>
        <w:t>Conflict of Interest</w:t>
      </w:r>
    </w:p>
    <w:p>
      <w:pPr>
        <w:spacing w:line="480" w:lineRule="auto" w:before="0" w:after="0"/>
      </w:pPr>
      <w:r>
        <w:rPr>
          <w:rFonts w:ascii="Times New Roman" w:hAnsi="Times New Roman" w:eastAsia="Times New Roman"/>
          <w:sz w:val="24"/>
        </w:rPr>
        <w:t>The author declares that there are no financial or personal relationships with other people or organizations that could inappropriately influence this work, except that one of the author's prior primary studies (Tokiwa, 2025) is potentially eligible for inclusion in the present meta-analysis. This conflict is addressed through a pre-specified sensitivity analysis excluding the author's own study.</w:t>
      </w:r>
    </w:p>
    <w:p>
      <w:pPr>
        <w:spacing w:line="480" w:lineRule="auto" w:before="0" w:after="0"/>
      </w:pPr>
    </w:p>
    <w:p>
      <w:pPr>
        <w:spacing w:line="480" w:lineRule="auto" w:before="0" w:after="0"/>
      </w:pPr>
      <w:r>
        <w:rPr>
          <w:rFonts w:ascii="Times New Roman" w:hAnsi="Times New Roman" w:eastAsia="Times New Roman"/>
          <w:b/>
          <w:sz w:val="24"/>
        </w:rPr>
        <w:t>Funding</w:t>
      </w:r>
    </w:p>
    <w:p>
      <w:pPr>
        <w:spacing w:line="480" w:lineRule="auto" w:before="0" w:after="0"/>
      </w:pPr>
      <w:r>
        <w:rPr>
          <w:rFonts w:ascii="Times New Roman" w:hAnsi="Times New Roman" w:eastAsia="Times New Roman"/>
          <w:sz w:val="24"/>
        </w:rPr>
        <w:t>This research did not receive any specific grant from funding agencies in the public, commercial, or not-for-profit sectors.</w:t>
      </w:r>
    </w:p>
    <w:p>
      <w:pPr>
        <w:spacing w:line="480" w:lineRule="auto" w:before="0" w:after="0"/>
      </w:pPr>
    </w:p>
    <w:p>
      <w:pPr>
        <w:spacing w:line="480" w:lineRule="auto" w:before="0" w:after="0"/>
      </w:pPr>
      <w:r>
        <w:rPr>
          <w:rFonts w:ascii="Times New Roman" w:hAnsi="Times New Roman" w:eastAsia="Times New Roman"/>
          <w:b/>
          <w:sz w:val="24"/>
        </w:rPr>
        <w:t>Ethics Approval</w:t>
      </w:r>
    </w:p>
    <w:p>
      <w:pPr>
        <w:spacing w:line="480" w:lineRule="auto" w:before="0" w:after="0"/>
      </w:pPr>
      <w:r>
        <w:rPr>
          <w:rFonts w:ascii="Times New Roman" w:hAnsi="Times New Roman" w:eastAsia="Times New Roman"/>
          <w:sz w:val="24"/>
        </w:rPr>
        <w:t>Not applicable. This study is a scoping review with exploratory quantitative synthesis of previously published quantitative research and did not involve any direct collection of data from human participants by the present author. As no new primary data were collected, no Institutional Review Board (IRB) or Research Ethics Committee approval was required for the conduct of this synthesis. The conduct of this review followed the ethical principles outlined in the Declaration of Helsinki (as revised in 2013) and the PRISMA-ScR reporting guidelines for systematic and scoping reviews. Ethical approval for each of the included primary studies was the responsibility of the original investigators of those studies, as documented in their respective publications.</w:t>
      </w:r>
    </w:p>
    <w:p>
      <w:pPr>
        <w:spacing w:line="480" w:lineRule="auto" w:before="0" w:after="0"/>
      </w:pPr>
    </w:p>
    <w:p>
      <w:pPr>
        <w:spacing w:line="480" w:lineRule="auto" w:before="0" w:after="0"/>
      </w:pPr>
      <w:r>
        <w:rPr>
          <w:rFonts w:ascii="Times New Roman" w:hAnsi="Times New Roman" w:eastAsia="Times New Roman"/>
          <w:b/>
          <w:sz w:val="24"/>
        </w:rPr>
        <w:t>Consent to Participate</w:t>
      </w:r>
    </w:p>
    <w:p>
      <w:pPr>
        <w:spacing w:line="480" w:lineRule="auto" w:before="0" w:after="0"/>
      </w:pPr>
      <w:r>
        <w:rPr>
          <w:rFonts w:ascii="Times New Roman" w:hAnsi="Times New Roman" w:eastAsia="Times New Roman"/>
          <w:sz w:val="24"/>
        </w:rPr>
        <w:t>Not applicable. This scoping review with exploratory quantitative synthesis did not involve any direct interaction with, or recruitment of, human participants by the present author. Informed consent and consent to participate for the underlying data were obtained by the original investigators of each included primary study at the time of original data collection, in accordance with the institutional and ethical standards applicable at that time.</w:t>
      </w:r>
    </w:p>
    <w:p>
      <w:pPr>
        <w:spacing w:line="480" w:lineRule="auto" w:before="0" w:after="0"/>
      </w:pPr>
    </w:p>
    <w:p>
      <w:pPr>
        <w:spacing w:line="480" w:lineRule="auto" w:before="0" w:after="0"/>
      </w:pPr>
      <w:r>
        <w:rPr>
          <w:rFonts w:ascii="Times New Roman" w:hAnsi="Times New Roman" w:eastAsia="Times New Roman"/>
          <w:b/>
          <w:sz w:val="24"/>
        </w:rPr>
        <w:t>Consent for Publication</w:t>
      </w:r>
    </w:p>
    <w:p>
      <w:pPr>
        <w:spacing w:line="480" w:lineRule="auto" w:before="0" w:after="0"/>
      </w:pPr>
      <w:r>
        <w:rPr>
          <w:rFonts w:ascii="Times New Roman" w:hAnsi="Times New Roman" w:eastAsia="Times New Roman"/>
          <w:sz w:val="24"/>
        </w:rPr>
        <w:t>Not applicable. This manuscript does not contain any individual person's data in any form (including individual details, images, or videos).</w:t>
      </w:r>
    </w:p>
    <w:p>
      <w:pPr>
        <w:spacing w:line="480" w:lineRule="auto" w:before="0" w:after="0"/>
      </w:pPr>
    </w:p>
    <w:p>
      <w:pPr>
        <w:spacing w:line="480" w:lineRule="auto" w:before="0" w:after="0"/>
      </w:pPr>
      <w:r>
        <w:rPr>
          <w:rFonts w:ascii="Times New Roman" w:hAnsi="Times New Roman" w:eastAsia="Times New Roman"/>
          <w:b/>
          <w:sz w:val="24"/>
        </w:rPr>
        <w:t>Human Ethics and Consent to Participate Declarations</w:t>
      </w:r>
    </w:p>
    <w:p>
      <w:pPr>
        <w:spacing w:line="480" w:lineRule="auto" w:before="0" w:after="0"/>
      </w:pPr>
      <w:r>
        <w:rPr>
          <w:rFonts w:ascii="Times New Roman" w:hAnsi="Times New Roman" w:eastAsia="Times New Roman"/>
          <w:sz w:val="24"/>
        </w:rPr>
        <w:t>Not applicable.</w:t>
      </w:r>
    </w:p>
    <w:p>
      <w:pPr>
        <w:spacing w:line="480" w:lineRule="auto" w:before="0" w:after="0"/>
      </w:pPr>
    </w:p>
    <w:p>
      <w:pPr>
        <w:spacing w:line="480" w:lineRule="auto" w:before="0" w:after="0"/>
      </w:pPr>
      <w:r>
        <w:rPr>
          <w:rFonts w:ascii="Times New Roman" w:hAnsi="Times New Roman" w:eastAsia="Times New Roman"/>
          <w:b/>
          <w:sz w:val="24"/>
        </w:rPr>
        <w:t>Pre-registration</w:t>
      </w:r>
    </w:p>
    <w:p>
      <w:pPr>
        <w:spacing w:line="480" w:lineRule="auto" w:before="0" w:after="0"/>
      </w:pPr>
      <w:r>
        <w:rPr>
          <w:rFonts w:ascii="Times New Roman" w:hAnsi="Times New Roman" w:eastAsia="Times New Roman"/>
          <w:sz w:val="24"/>
        </w:rPr>
        <w:t>This scoping review with exploratory quantitative synthesis was pre-registered on OSF Registries (https://osf.io/e5w47/; DOI: 10.17605/OSF.IO/E5W47) on April 23, 2026, prior to formal data extraction and quantitative synthesis. The full protocol (PRISMA-P 2015 compliant) and supplementary materials are publicly available in the associated OSF project (https://doi.org/10.17605/OSF.IO/79M5J).</w:t>
      </w:r>
    </w:p>
    <w:p>
      <w:pPr>
        <w:spacing w:line="480" w:lineRule="auto" w:before="0" w:after="0"/>
      </w:pPr>
    </w:p>
    <w:p>
      <w:pPr>
        <w:spacing w:line="480" w:lineRule="auto" w:before="0" w:after="0"/>
      </w:pPr>
      <w:r>
        <w:rPr>
          <w:rFonts w:ascii="Times New Roman" w:hAnsi="Times New Roman" w:eastAsia="Times New Roman"/>
          <w:b/>
          <w:sz w:val="24"/>
        </w:rPr>
        <w:t>Data Availability Statement</w:t>
      </w:r>
    </w:p>
    <w:p>
      <w:pPr>
        <w:spacing w:line="480" w:lineRule="auto" w:before="0" w:after="0"/>
      </w:pPr>
      <w:r>
        <w:rPr>
          <w:rFonts w:ascii="Times New Roman" w:hAnsi="Times New Roman" w:eastAsia="Times New Roman"/>
          <w:sz w:val="24"/>
        </w:rPr>
        <w:t>All extracted data, analysis code, search logs, risk-of-bias ratings, figures, and supplementary materials are publicly available on the associated OSF project (https://doi.org/10.17605/OSF.IO/79M5J). Each component has been assigned a DOI for direct citation: 01_protocol (https://doi.org/10.17605/OSF.IO/7FRGH) — protocol, literature review, deep reading notes, and manuscript drafts; 02_search (https://doi.org/10.17605/OSF.IO/UVJDY) — search log and candidate studies; 03_screening (https://doi.org/10.17605/OSF.IO/YH28G) — PRISMA flow counts and screening decisions; 04_extraction (https://doi.org/10.17605/OSF.IO/5UW98) — data extraction CSV and coding manual; 05_risk_of_bias (https://doi.org/10.17605/OSF.IO/3XYNE) — JBI risk-of-bias ratings for each included study; 06_analysis (https://doi.org/10.17605/OSF.IO/Q4XKB) — Python analysis scripts, pooled results, moderator analyses, sensitivity analyses, and generating code for all tables and figures; and 07_pdf_index (https://doi.org/10.17605/OSF.IO/XZ6PT) — DOI index of included studies.</w:t>
      </w:r>
    </w:p>
    <w:p>
      <w:pPr>
        <w:spacing w:line="480" w:lineRule="auto" w:before="0" w:after="0"/>
      </w:pPr>
    </w:p>
    <w:p>
      <w:pPr>
        <w:spacing w:line="480" w:lineRule="auto" w:before="0" w:after="0"/>
      </w:pPr>
      <w:r>
        <w:rPr>
          <w:rFonts w:ascii="Times New Roman" w:hAnsi="Times New Roman" w:eastAsia="Times New Roman"/>
          <w:b/>
          <w:sz w:val="24"/>
        </w:rPr>
        <w:t>Authors' contributions</w:t>
      </w:r>
    </w:p>
    <w:p>
      <w:pPr>
        <w:spacing w:line="480" w:lineRule="auto" w:before="0" w:after="0"/>
      </w:pPr>
      <w:r>
        <w:rPr>
          <w:rFonts w:ascii="Times New Roman" w:hAnsi="Times New Roman" w:eastAsia="Times New Roman"/>
          <w:sz w:val="24"/>
        </w:rPr>
        <w:t>The author (ET) conceived and designed the review, developed the search strategy and eligibility criteria, performed the database searches, conducted screening, extracted data, performed the statistical analyses, and drafted and revised the manuscript. The author approves the final version.</w:t>
      </w:r>
    </w:p>
    <w:p>
      <w:pPr>
        <w:spacing w:line="480" w:lineRule="auto" w:before="0" w:after="0"/>
      </w:pPr>
    </w:p>
    <w:p>
      <w:pPr>
        <w:spacing w:line="480" w:lineRule="auto" w:before="0" w:after="0"/>
      </w:pPr>
      <w:r>
        <w:rPr>
          <w:rFonts w:ascii="Times New Roman" w:hAnsi="Times New Roman" w:eastAsia="Times New Roman"/>
          <w:b/>
          <w:sz w:val="24"/>
        </w:rPr>
        <w:t>Preprint Statement</w:t>
      </w:r>
    </w:p>
    <w:p>
      <w:pPr>
        <w:spacing w:line="480" w:lineRule="auto" w:before="0" w:after="0"/>
      </w:pPr>
      <w:r>
        <w:rPr>
          <w:rFonts w:ascii="Times New Roman" w:hAnsi="Times New Roman" w:eastAsia="Times New Roman"/>
          <w:sz w:val="24"/>
        </w:rPr>
        <w:t>A preprint version of this manuscript has been deposited on Research Square (https://doi.org/10.21203/rs.3.rs-9513298). This preprint has not been peer-reviewed by a journal. Any substantive revisions introduced during peer review are reflected in the present journal version and in a versioned preprint update.</w:t>
      </w:r>
    </w:p>
    <w:p>
      <w:pPr>
        <w:spacing w:line="480" w:lineRule="auto" w:before="0" w:after="0"/>
      </w:pPr>
    </w:p>
    <w:p>
      <w:pPr>
        <w:spacing w:line="480" w:lineRule="auto" w:before="0" w:after="0"/>
      </w:pPr>
      <w:r>
        <w:rPr>
          <w:rFonts w:ascii="Times New Roman" w:hAnsi="Times New Roman" w:eastAsia="Times New Roman"/>
          <w:b/>
          <w:sz w:val="24"/>
        </w:rPr>
        <w:t>Acknowledgments</w:t>
      </w:r>
    </w:p>
    <w:p>
      <w:pPr>
        <w:spacing w:line="480" w:lineRule="auto" w:before="0" w:after="0"/>
      </w:pPr>
      <w:r>
        <w:rPr>
          <w:rFonts w:ascii="Times New Roman" w:hAnsi="Times New Roman" w:eastAsia="Times New Roman"/>
          <w:sz w:val="24"/>
        </w:rPr>
        <w:t>The author thanks the investigators of the included primary studies for making their correlation matrices and sample characteristics available in the published record, and the maintainers of the open-access repositories (OSF, Research Square, PsyArXiv, arXiv, and institutional repositories) that enabled retrieval of full-text articles. The author also acknowledges the developers of the open-source scientific Python stack (NumPy, SciPy, pandas, Matplotlib, statsmodels, and python-docx) on which the analyses and manuscript preparation depended. No funding bodies, research assistants, or third-party organizations contributed to the design, conduct, or reporting of this review.</w:t>
      </w:r>
    </w:p>
    <w:p>
      <w:pPr>
        <w:spacing w:line="480" w:lineRule="auto" w:before="0" w:after="0"/>
      </w:pP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pPr>
    <w:r>
      <w:rPr>
        <w:rFonts w:ascii="Times New Roman" w:hAnsi="Times New Roman" w:eastAsia="Times New Roman"/>
        <w:sz w:val="24"/>
      </w:rPr>
      <w:t>BIG FIVE AND ONLINE LEARNING</w:t>
      <w:tab/>
      <w:tab/>
    </w:r>
    <w:r>
      <w:rPr>
        <w:rFonts w:ascii="Times New Roman" w:hAnsi="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jc w:val="center"/>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