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1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PRISMA-ScR-style Flow Diagram of the Study Selection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251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5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Note. Flow diagram adapted from the PRISMA-ScR statement (Tricco et al., 2018) (Page et al., 2021). Records were identified through WebSearch-based formal search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80 from eight structured queries), preliminary informal search yielding a previously curated corpus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28), and citation snowballing combined with open-access repository downloads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12), for a total of 120 records. After deduplication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40 removed), 80 records underwent title and abstract screening, with 25 excluded primarily for wrong population, non-Big-Five personality frameworks, or no online learning component. Of 43 full-text reports sought, 5 were not retrievable (paywall), and 38 were assessed for eligibility. Eleven reports were excluded at the full-text stage with explicit reasons: non-Big-Five framework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5; MBTI, Proactive Personality, TAM, TUE, and other non-FFM operationalization), face-to-face modality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4; A-09 Bhattacharjee &amp; Ramkumar, 2025; A-10 Boonyapison et al., 2025; A-14 Eilam et al., 2009; A-16 Hidalgo-Fuentes et al., 2024), sample overlap with an already-included study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1; A-05 Audet et al., 2023 overlapped with A-04 Audet et al., 2021), and effect size not extractable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1; A-24 Tlili et al., 2023, lag sequential analysis). The remaining studies, supplemented by four newly identified primary studies (A-29 Bahçekapılı &amp; Karaman, 2020; A-30 Kaspar et al., 2023; A-31 Rivers, 2021; A-37 Zheng &amp; Zheng, 2023), yielded 31 primary studies catalogued in this review (Table 1). Of these, 25 were retained for qualitative synthesis, and 10 contributed direct Pearson correlations or β-converted effect sizes to the exploratory quantitative achievement pool (with two studies — A-28 Yu, 2021 and A-30 Kaspar et al., 2023 — providing β-converted effect sizes via Peterson and Brown's, 2005, approximation). The remaining 15 retained studies contributed only to secondary-outcome narrative synthesis.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2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Conscientiousness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0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Conscientiousness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3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Agreeableness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3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Agreeableness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4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Openness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39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Openness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5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Neuroticism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07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Neuroticism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6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Extraversion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39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Extraversion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7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Conscientiousness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Conscientiousness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 results: intercept = 2.14,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.094. See Table 4 for full publication-bias assessment.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8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Agreeableness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Agreeableness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 results: intercept = −8.53,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.072. See Table 4 for full publication-bias assessment.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9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Openness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Openness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 results: intercept = −6.41,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.045. See Table 4 for full publication-bias assessment.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10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Neuroticism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Neuroticism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 results: intercept = −1.79,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.304. See Table 4 for full publication-bias assessment.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11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Extraversion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Extraversion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 results: intercept = 2.29,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.255. See Table 4 for full publication-bias assessment.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Times New Roman" w:hAnsi="Times New Roman" w:eastAsia="Times New Roman"/>
        <w:sz w:val="24"/>
      </w:rPr>
      <w:t>BIG FIVE AND ONLINE LEARNING</w:t>
      <w:tab/>
      <w:tab/>
    </w: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