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Founder of SUNBLAZE Co., Ltd.</w:t>
      </w:r>
    </w:p>
    <w:p>
      <w:pPr>
        <w:spacing w:line="480" w:lineRule="auto" w:before="0" w:after="0"/>
        <w:jc w:val="center"/>
      </w:pPr>
      <w:r>
        <w:rPr>
          <w:rFonts w:ascii="Times New Roman" w:hAnsi="Times New Roman" w:eastAsia="Times New Roman"/>
          <w:sz w:val="24"/>
        </w:rPr>
        <w:t>Tokyo, Japan</w:t>
      </w:r>
    </w:p>
    <w:p>
      <w:pPr>
        <w:spacing w:line="480" w:lineRule="auto" w:before="0" w:after="0"/>
        <w:jc w:val="center"/>
      </w:pPr>
      <w:r>
        <w:rPr>
          <w:rFonts w:ascii="Times New Roman" w:hAnsi="Times New Roman" w:eastAsia="Times New Roman"/>
          <w:sz w:val="24"/>
        </w:rPr>
        <w:t>eisuke.tokiwa@sunblaze.jp</w:t>
      </w:r>
    </w:p>
    <w:p>
      <w:pPr>
        <w:spacing w:line="480" w:lineRule="auto" w:before="0" w:after="0"/>
        <w:jc w:val="center"/>
      </w:pPr>
      <w:r>
        <w:rPr>
          <w:rFonts w:ascii="Times New Roman" w:hAnsi="Times New Roman" w:eastAsia="Times New Roman"/>
          <w:sz w:val="24"/>
        </w:rPr>
        <w:t>ORCID: 0009-0009-7124-6669</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and supplementary materials are publicly available on the OSF project page (https://osf.io/79m5j/) and the accompanying GitHub repository (https://github.com/etoki/paper, directory metaanalysis/).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Academic achievement in online learning environments has become a central concern for post-secondary education following the global shift toward digital instruction, yet existing meta-analyses of Big Five personality traits and academic performance have pooled samples across face-to-face, blended, and online modalities without testing delivery mode as a substantive moderator. The present systematic review and meta-analysis is the first quantitative synthesis dedicated to online learning environments. The review was pre-registered on OSF Registries (DOI: 10.17605/OSF.IO/E5W47) prior to data extraction. Following PRISMA 2020 reporting standards, 31 primary studies reporting associations between Big Five (or HEXACO) personality traits and academic achievement in online, blended, or MOOC environments were synthesized. Effect sizes were pooled using random-effects meta-analysis with Restricted Maximum Likelihood estimation and Hartung-Knapp-Sidik-Jonkman confidence-interval adjustment on the Fisher z scale. Ten studies (pooled N = 3,384) contributed direct Pearson correlations to the primary achievement pool. Conscientiousness emerged as the strongest positive predictor (pooled r = .167, 95% CI [.089, .243]; I² = 65.1%), followed by Agreeableness (r = .112 [−.031, .250]), Openness (r = .086 [−.044, .214]), Neuroticism (r = .018 [−.079, .114]), and Extraversion (r = .002 [−.076, .080]). Two pre-registered moderator effects were highly significant: Extraversion × Region (Asian samples r = −.131 vs. non-Asian r = .050; Q_between = 46.43, p &lt; .001) and Extraversion × Outcome Type (objective r = −.038 vs. self-rated r = .117; Q_between = 17.30, p &lt; .001). The findings provide preliminary support for the Personality-Achievement Saturation Hypothesis (PASH) extended to technology-mediated learning and document novel cultural- and outcome-type-dependent shifts in the Extraversion-achievement association. Confidence in pooled estimates (GRADE) ranged from Moderate (Conscientiousness, Extraversion) to Low (Openness, Agreeableness, Neuroticism). Limitations include the modest k (9–10 studies per trait) and the use of web-based rather than institutionally-licensed database searches. Online learning environments modify, but do not fundamentally transform, the well-established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HEXACO;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Eight large-scale meta-analyses have established a robust pattern of associations between the Big Five personality traits and academic achievement. Poropat (2009), synthesizing 138 samples and over 70,000 participants, reported a corrected correlation of ρ = .22 between Conscientiousness and academic performance, with smaller but significant effects for Openness (ρ = .12) and Agreeableness (ρ = .07), and essentially null effects for Extraversion (ρ = −.01) and Neuroticism (ρ = .02). These findings were replicated and extended by McAbee and Oswald (2013; k = 57, N = 26,382; C ρ = .26) and by Vedel (2014; k = 21, N = 17,717; C ρ = .26), both restricted to tertiary education. Stajkovic, Bandura, Locke, Lee, and Sergent (2018) provided additional evidence that Conscientiousness predicts academic achievement both directly and indirectly through self-efficacy, with the self-efficacy path carrying a substantial proportion of the Conscientiousness effect (β = .24 to .33).</w:t>
      </w:r>
    </w:p>
    <w:p>
      <w:pPr>
        <w:spacing w:line="480" w:lineRule="auto" w:before="0" w:after="0"/>
        <w:ind w:firstLine="720"/>
      </w:pPr>
      <w:r>
        <w:rPr>
          <w:rFonts w:ascii="Times New Roman" w:hAnsi="Times New Roman" w:eastAsia="Times New Roman"/>
          <w:sz w:val="24"/>
        </w:rPr>
        <w:t>More recent syntheses have substantially expanded the evidence base. Mammadov (2022), in the largest meta-analysis to date (267 independent samples, N = 413,074), reported a corrected pooled correlation of ρ = .27 for Conscientiousness and ρ = .16 for Openness, and documented a striking cultural moderation effect in which Asian samples showed markedly stronger associations (C ρ = .35; A ρ = .23; N ρ = −.19). Meyer, Jansen, Hübner, and Lüdtke (2023), focusing exclusively on K-12 samples (110 samples, N = 500,218), obtained even larger estimates (C ρ = .24; O ρ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(2021), in a second-order synthesis of 54 meta-analyses, confirmed the stability of these effects, with academic-specific estimates of C ρ = .28 and E ρ = −.01. Most recently, Chen, Cheung, and Zeng (2025), examining 84 articles and 370 independent correlations restricted to university students with samples of at least 200 participants, reported somewhat smaller estimates (C r = .206; O r = .081; A r = .082; E r = −.009; N r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(ρ = .19 to .28), with Openness serving as a reliable secondary predictor (ρ = .07 to .21). Agreeableness exhibits small positive effects (ρ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Chang, Quilantan-Garza, &amp; Gutierrez,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ρ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(r = .48) and paper grades (r = .37), with Openness also predicting paper grades (r = .35). Alkış and Taşkaya Temizel (2018), comparing online and blended sections of the same course, found Conscientiousness to predict course grades in both modalities (online r = .205; blended r = .244), with other traits exhibiting only null effects. In the COVID-era German higher education context, Rodrigues, Rose, and Hewig (2024) reported a moderate negative correlation between Conscientiousness and self-reported GPA (r = −.228 with grades coded such that lower values indicate better performance), and significant negative associations between Neuroticism and study satisfaction and well-being. Rivers (2021), studying Japanese undergraduates in an asynchronous Moodle course (N = 149), reported a direct negative effect of Extraversion on course achievement (β = −.168, p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Other primary studies reveal patterns that diverge from conventional face-to-face findings. In a large Chinese K-12 sample studied by Wang, Wang, and Li (2023; N = 1,625), Big Five traits were associated with academic achievement only indirectly through online learning engagement, with Conscientiousness (β = .322) and Openness (β = .253) serving as the strongest predictors of engagement. Yu (2021), in a Chinese MOOC platform sample (N = 1,152), reported that Agreeableness (β = .442) and Openness (β = .305) were stronger predictors of objective MOOC composite scores than Conscientiousness (β = .057), suggesting that cooperative behaviors and novelty orientation may be especially salient in Chinese collectivistic contexts (cf. Mammadov, 2022; Chen et al., 2025). Bahçekapılı and Karaman (2020), in a Turkish distance-education context (N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Five directional hypotheses, pre-specified in the OSF registration (https://osf.io/e5w47/), are evaluated. Hypothesis 1 (H1) states that Conscientiousness will show the strongest positive pooled correlation with academic achievement in online learning environments, with an expected pooled ρ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2021;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N, age mean and SD,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r, standardized β, Cohen's d, η², t, or F,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(r) between each Big Five trait score and the academic achievement outcome. Prior to pooling, every extracted r was transformed to Fisher's z (Borenstein et al., 2009) using the formula z = 0.5 × ln[(1 + r) / (1 − r)], with sampling variance Var(z) = 1 / (N − 3), where N is the analytic sample size for that effect size. Pooled z-values were back-transformed to r for reporting, using r = [exp(2z) − 1] / [exp(2z) + 1]. All pooling, moderator regression, and confidence-interval construction were performed on the Fisher z scale, whereas point estimates and credibility intervals were reported on the r scale for interpretability.</w:t>
      </w:r>
    </w:p>
    <w:p>
      <w:pPr>
        <w:spacing w:line="480" w:lineRule="auto" w:before="0" w:after="0"/>
        <w:ind w:firstLine="720"/>
      </w:pPr>
      <w:r>
        <w:rPr>
          <w:rFonts w:ascii="Times New Roman" w:hAnsi="Times New Roman" w:eastAsia="Times New Roman"/>
          <w:sz w:val="24"/>
        </w:rPr>
        <w:t>When a primary study reported an effect-size statistic other than Pearson r, the statistic was converted to r using pre-specified rules, and every converted effect size was flagged for a pre-specified sensitivity analysis in which pooled estimates were recomputed with and without converted effect sizes. Standardized regression coefficients (β) were converted using the approximation of Peterson and Brown (2005), r ≈ β + 0.05λ, where λ = 1 if β ≥ 0 and 0 otherwise; conversions from β were applied only when the source model contained at most two predictors, and β-only reports from larger models were excluded. Cohen's d values were converted to r as r = d / √(d² + 4) for equal-group comparisons, adjusted for unequal group sizes as r = d / √(d² + (n₁ + n₂)² / (n₁ × n₂)). Eta-squared (η²) values from single-predictor models were converted as r = √η², with sign assigned based on the reported direction of association. F and t statistics were converted using r = √(F / (F + df_error)) and r = √(t² / (t² + df)),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(τ²)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Q, the I² statistic, τ² and τ,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All primary pooling was conducted on the Fisher z scale, and pooled z values were back-transformed to r for reporting. Inference criteria were two-tailed, with α = .05 for pooled effect significance tests, α = .10 for Cochran's Q (per convention), and α = .05 for moderator QM tests. Effect-size magnitudes were interpreted against the benchmarks proposed by Gignac and Szodorai (2016) for correlational meta-analyses, with r ≈ .10 small, r ≈ .20 moderate, and r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QM test. The R²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k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Davey Smith, Schneider, &amp; Minder, 1997); Peters' regression test adapted for correlation effect sizes; and Duval and Tweedie's (2000) trim-and-fill procedure, reported as a sensitivity check rather than as a point-estimate correction. In addition, p-curve analysis (Simonsohn, Nelson, &amp; Simmons,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I²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p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(k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(14 of 31 studies); NEO-family, IPIP, HEXACO, and TIPI/TIPI-J together contributed fewer than three studies each. Within the primary achievement pool, Conscientiousness estimates were comparable across BFI-44 (r range = .068 to .49), TIPI-J (r = .144 in Rivers, 2021), and β-converted studies. Consistent with McAbee and Oswald (2013), the short-form Mini-IPIP and TIPI produced the smallest magnitudes, but the k-per-instrument was insufficient for inferential testing. (b) Publication year: the eligible studies spanned 2003 to 2025, with concentration in 2020–2023. A scatter-plot inspection of year vs. effect size (not reported) indicated no systematic trend. (c) Log-sample size: studies with N &gt; 500 (Wang 2023 N = 1,625; Yu 2021 N = 1,152; Alkış &amp; Temizel 2018 N = 316 online subset; Bahçekapılı &amp; Karaman 2020 N = 525; Kaspar et al. 2023 N = 413; Quigley et al. 2022 N = 301; Rodrigues et al. 2024 N = 260; Zheng &amp; Zheng 2023 N = 282) produced smaller pooled Conscientiousness estimates (r ≈ .10) than studies with N &lt; 200 (r ≈ .30), a pattern consistent with small-study effects and detected also in the Egger analysis. (d) Risk-of-bias score: the low-quality exclusion sensitivity analysis (reported in Results) showed robustness to RoB &lt; 5 exclusion, with |Δr| ≤ .015 for all traits. (e) Modality: only 2 non-fully-online studies (A-02 blended subsample; A-28 MOOC) could be separately identified, precluding quantitative modality moderation. (f) Education level: only 3 K-12 studies (A-10, A-25, A-26) were identified, of which only A-26 contributed to the primary achievement pool; the K-12 contribution was therefore anchored in a single Chinese sample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accompanying OSF project (https://osf.io/79m5j/) and GitHub repository (https://github.com/etoki/paper, directory metaanalysis/).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seven were excluded for measuring a non-Big-Five personality framework (three MBTI, two Proactive Personality, one TUE, one TAM), and four were excluded for a fully face-to-face modality. The remaining 27 primary studies met all eligibility criteria, plus four newly identified primary studies (A-29 Bahçekapılı &amp; Karaman, 2020; A-30 Kaspar et al., 2023; A-31 Rivers, 2021; A-37 Zheng &amp; Zheng, 2023) were added, for a total of 31 primary studies contributing to the quantitative synthesis.</w:t>
      </w:r>
    </w:p>
    <w:p>
      <w:pPr>
        <w:spacing w:line="480" w:lineRule="auto" w:before="0" w:after="0"/>
        <w:ind w:firstLine="720"/>
      </w:pPr>
      <w:r>
        <w:rPr>
          <w:rFonts w:ascii="Times New Roman" w:hAnsi="Times New Roman" w:eastAsia="Times New Roman"/>
          <w:sz w:val="24"/>
        </w:rPr>
        <w:t>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included primary studies, four were flagged for subsequent sensitivity analysis because their effect-size contribution depended on Peterson-Brown conversion from β to r (studies A-20, A-26, A-28, A-30), and one was flagged as a conflict-of-interest study because it is the present author's own prior primary research (A-25 Tokiwa, 2025).</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Characteristics of the 31 included primary studies are presented in Table 1. Publication years ranged from 2003 to 2025, with a marked acceleration in the COVID-19 era (2020–2022), during which approximately half of the eligible studies were conducted. Analytic sample sizes ranged from 47 (Elvers, 2003) to 1,625 (Wang et al., 2023), with a median N of approximately 287. The 12 studies contributing direct Pearson correlations to the primary achievement pool aggregated a total sample of 3,384 participants.</w:t>
      </w:r>
    </w:p>
    <w:p>
      <w:pPr>
        <w:spacing w:line="480" w:lineRule="auto" w:before="0" w:after="0"/>
        <w:ind w:firstLine="720"/>
      </w:pPr>
      <w:r>
        <w:rPr>
          <w:rFonts w:ascii="Times New Roman" w:hAnsi="Times New Roman" w:eastAsia="Times New Roman"/>
          <w:sz w:val="24"/>
        </w:rPr>
        <w:t>The distribution of studies across learning modality was dominated by fully online modalities (27 of 31 studies), with the remainder classified as blended (A-02 has a blended subsample; reported as a separate effect size) or MOOC-specific (A-28 Yu, 2021). Within fully online, the asynchronous/synchronous distinction was explicitly reported for only 9 studies; these comprised 5 primarily asynchronous and 4 synchronous or mixed contexts. Education levels comprised K-12 (3 studies: A-10, A-25, A-26), undergraduate (22 studies), mixed undergraduate/graduate (5 studies), and graduate only (1 study: A-37 Zheng &amp; Zheng, 2023). Regional distribution, important for the pre-registered Asian-amplification moderator analysis, was as follows: Asia (13 studies; includes East Asian and Middle Eastern samples), Europe (8 studies), North America (5 studies), and Other (1 study: A-24 Tunisia). Era coding, for the era moderator, yielded 7 pre-COVID, 15 COVID-era, and 7 post-COVID or mixed-era studies; 2 studies spanned multiple eras.</w:t>
      </w:r>
    </w:p>
    <w:p>
      <w:pPr>
        <w:spacing w:line="480" w:lineRule="auto" w:before="0" w:after="0"/>
        <w:ind w:firstLine="720"/>
      </w:pPr>
      <w:r>
        <w:rPr>
          <w:rFonts w:ascii="Times New Roman" w:hAnsi="Times New Roman" w:eastAsia="Times New Roman"/>
          <w:sz w:val="24"/>
        </w:rPr>
        <w:t>Personality measurement instruments used across the included studies comprised the Big Five Inventory family (BFI-44, BFI-2, BFI-S; 14 studies), the NEO Personality Inventory family (NEO-FFI, NEO-PI-R; 3 studies), the International Personality Item Pool (IPIP, Mini-IPIP; 3 studies), the HEXACO Personality Inventory (1 study: A-19 MacLean, 2022), the Ten-Item Personality Inventory (TIPI, TIPI-J; 2 studies), and other validated Big Five–aligned scales (Sahinidis's 30-item Big Five, Chinese-language Big Five scales; 8 studies). Academic achievement outcomes were operationalized as GPA or course grade (6 studies), standardized exam or quiz score (2 studies), MOOC platform composite (1 study: A-28 Yu, 2021), self-rated performance (3 studies), or indirect proxies such as procrastination and engagement subscales (4 studies). Secondary outcomes—satisfaction, engagement, or preference—were the primary or only outcome in the remaining 15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31 included studies was 5.6 (SD = 1.1, range = 4–8). Twenty-four studies scored at or above the pre-specified low-bias threshold of 5, while seven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Conscientiousness and online academic achievement. Across k = 10 studies (total N = 3,384), the pooled correlation between Conscientiousness and academic achievement in online learning environments was r = .167 (95% CI [.089, .243], 95% PI [−.020, .343]), partially supporting Hypothesis 1 (H1: expected ρ = .20–.35). The point estimate was the largest of the five Big Five traits in the present synthesis, confirming the ordinal prediction of H1, but its magnitude was somewhat below the face-to-face benchmark range of ρ = .19–.28 reported by Poropat (2009), McAbee and Oswald (2013), Vedel (2014), Mammadov (2022), Meyer et al. (2023), and Chen et al. (2025). Heterogeneity was moderate (Q(9) = 25.79, p = .002; I² = 65.1%; τ² = .006; τ = .076).</w:t>
      </w:r>
    </w:p>
    <w:p>
      <w:pPr>
        <w:spacing w:line="480" w:lineRule="auto" w:before="0" w:after="0"/>
        <w:ind w:firstLine="720"/>
      </w:pPr>
      <w:r>
        <w:rPr>
          <w:rFonts w:ascii="Times New Roman" w:hAnsi="Times New Roman" w:eastAsia="Times New Roman"/>
          <w:sz w:val="24"/>
        </w:rPr>
        <w:t>Openness to Experience and online academic achievement. Across k = 9 studies (total N = 3,363), the pooled correlation was r = .086 (95% CI [−.044, .214], 95% PI [−.273, .425]). This estimate was comparable to the face-to-face benchmark from Mammadov (2022; ρ = .16) and smaller than the K-12 estimate of Meyer et al. (2023; ρ = .21), and the 95% confidence interval crossed zero. Hypothesis 2 (H2), which predicted a stronger Openness effect in online than in face-to-face contexts, was therefore not supported by the present primary analysis. Heterogeneity was very high (Q(8) = 100.17, p &lt; .001; I² = 92.0%; τ² = .021), consistent with the wide dispersion of reported Openness effects across primary studies (e.g., r = .35 for Abe's essay outcome; r = .305 for Yu's MOOC composite vs. r = −.066 for Rivers's asynchronous Moodle outcome).</w:t>
      </w:r>
    </w:p>
    <w:p>
      <w:pPr>
        <w:spacing w:line="480" w:lineRule="auto" w:before="0" w:after="0"/>
        <w:ind w:firstLine="720"/>
      </w:pPr>
      <w:r>
        <w:rPr>
          <w:rFonts w:ascii="Times New Roman" w:hAnsi="Times New Roman" w:eastAsia="Times New Roman"/>
          <w:sz w:val="24"/>
        </w:rPr>
        <w:t>Extraversion and online academic achievement. Across k = 9 studies (total N = 3,363), the pooled correlation was r = .002 (95% CI [−.076, .080]). This null estimate supports Hypothesis 5 (H5), which predicted a null or weak negative Extraversion–achievement association in online environments. Notably, the direct negative effect reported by Rivers (2021; β = −.168) and the MOOC finding of Yu (2021; standardized β = −.076) contributed to pulling the pooled estimate toward zero from the otherwise mixed face-to-face pattern. Heterogeneity was moderate-to-high (Q(8) = 32.66, p &lt; .001; I² = 75.5%; τ²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Agreeableness and online academic achievement. Across k = 9 studies (total N = 3,363), the pooled correlation was r = .112 (95% CI [−.031, .250]). This estimate was slightly larger than the face-to-face benchmark of ρ = .05–.10 (Poropat, 2009; Vedel, 2014; Chen et al., 2025), contrary to Hypothesis 3 (H3), which predicted a weaker Agreeableness effect in online than in face-to-face contexts. Chinese samples in the primary corpus (Yu, 2021; Wang et al., 2023) showed amplified Agreeableness effects (converted β = .442 and β = .112, respectively), contributing to the higher pooled estimate; this is explored in the region moderator analysis. Heterogeneity was extremely high (Q(8) = 208.49, p &lt; .001; I² = 96.2%; τ² = .030).</w:t>
      </w:r>
    </w:p>
    <w:p>
      <w:pPr>
        <w:spacing w:line="480" w:lineRule="auto" w:before="0" w:after="0"/>
        <w:ind w:firstLine="720"/>
      </w:pPr>
      <w:r>
        <w:rPr>
          <w:rFonts w:ascii="Times New Roman" w:hAnsi="Times New Roman" w:eastAsia="Times New Roman"/>
          <w:sz w:val="24"/>
        </w:rPr>
        <w:t>Neuroticism and online academic achievement. Across k = 10 studies (total N = 3,384), the pooled correlation was r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p &lt; .001; I² = 79.0%; τ² = .010). Primary-study signs were mixed: Rodrigues et al. (2024) and Baruth and Cohen (2022/2023) reported negative associations with satisfaction or well-being, whereas Yu (2021) reported a weakly positive association, and the β-excluded sensitivity analysis (see below) reduced the pooled N estimate to r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Substantial between-study heterogeneity was observed across all five trait pools, with I² values ranging from 65.1% (Conscientiousness) to 96.2% (Agreeableness). The consistently high I²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k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Region. The Asian-sample pattern reported by Mammadov (2022) and Chen et al. (2025) was evaluated with k = 2 Asian studies against k = 7–8 non-Asian studies per trait. A highly significant region effect emerged for Extraversion: in the Asian subgroup the pooled correlation was r = −.131 (95% CI [−.314, .061]), whereas in the non-Asian subgroup it was r = .050 (95% CI [−.004, .104]); Q_between(1) = 46.43, p &lt; .001. This pattern is consistent with Chen et al.'s (2025) finding that Extraversion shows significantly negative effects in collectivistic and culturally sensitive contexts. Trends in the same direction, not reaching significance, were observed for Neuroticism (Asia r = .089 vs. non-Asia r = −.007; Q_between(1) = 3.31, p = .069) and for Agreeableness (Asia r = .330 vs. non-Asia r = .030; Q_between(1) = 2.17, p = .140). Counterintuitively, the Conscientiousness effect was slightly weaker in the Asian subgroup (r = .111) than in the non-Asian subgroup (r = .185); Q_between(1) = 2.68, p = .102. The k = 2 Asian subsample limits power, and replication is required.</w:t>
      </w:r>
    </w:p>
    <w:p>
      <w:pPr>
        <w:spacing w:line="480" w:lineRule="auto" w:before="0" w:after="0"/>
        <w:ind w:firstLine="720"/>
      </w:pPr>
      <w:r>
        <w:rPr>
          <w:rFonts w:ascii="Times New Roman" w:hAnsi="Times New Roman" w:eastAsia="Times New Roman"/>
          <w:sz w:val="24"/>
        </w:rPr>
        <w:t>Era. The pre-COVID vs. COVID-era contrast yielded no significant moderation for any trait (all Q_between p &gt; .15). Notably, Conscientiousness effects were comparable across eras (pre-COVID r = .208 vs. COVID r = .179; Q_between(1) = 0.13, p = .716), providing no evidence that the COVID-19 emergency remote teaching context selectively amplified the role of Conscientiousness. The Neuroticism-era pattern was consistent with an attenuation hypothesis (pre-COVID r = −.050 vs. COVID r = .060; Q_between(1) = 2.04, p = .153), but did not reach conventional significance. The post-COVID era was under-represented (k = 2 studies explicitly post-COVID) and could not be isolated as a distinct subgroup.</w:t>
      </w:r>
    </w:p>
    <w:p>
      <w:pPr>
        <w:spacing w:line="480" w:lineRule="auto" w:before="0" w:after="0"/>
        <w:ind w:firstLine="720"/>
      </w:pPr>
      <w:r>
        <w:rPr>
          <w:rFonts w:ascii="Times New Roman" w:hAnsi="Times New Roman" w:eastAsia="Times New Roman"/>
          <w:sz w:val="24"/>
        </w:rPr>
        <w:t>Outcome type. A second highly significant moderator effect emerged for Extraversion: in objective achievement outcomes (GPA, MOOC composite, course grade; k = 7) the pooled correlation was r = −.038 (95% CI calculation yielded narrow bounds near zero), whereas in self-rated performance outcomes (k = 2) it was r = .117; Q_between(1) = 17.30, p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Q_between p &gt; .12). The six remaining pre-registered moderators could not be tested quantitatively due to insufficient k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β to r produced larger changes, particularly for Neuroticism (pooled r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most influential single study for the Agreeableness pool (removal shifted r from .112 to .066) and Rivers (2021) as influential for Extraversion (removal shifted r from .002 to .028), consistent with their roles as the largest objective-outcome sources in those pools.</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Funnel plots for each trait are presented in Figures 7A through 7E. Egger's regression asymmetry test was significant for Openness (intercept = −6.41, SE = 2.63, t(7) = −2.43, p = .045) and approached significance for Agreeableness (intercept = −8.53, SE = 4.03, t(7) = −2.12, p = .072). For the remaining traits the test was not significant (Conscientiousness intercept = 2.14, p = .094; Extraversion intercept = 2.29, p = .255; Neuroticism intercept = −1.79, p = .304). Given the low statistical power of Egger's test with k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Duval and Tweedie's (2000) trim-and-fill procedure imputed hypothetical missing studies on the under-represented side of the funnel for three of the five traits: one additional study for Openness (adjusted r = .107 vs. original r = .086), two for Extraversion (adjusted r = −.036 vs. original r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6.0), moderate inconsistency (I² = 65.1% with a PI that just crosses zero), direct relevance to the review question, adequate precision (CI width = .15 &lt; 2 × MOI of .10), and borderline publication-bias signal (Egger p = .094). Confidence in the pooled Openness estimate was rated Low due to very high inconsistency (I² = 92.0%), wide imprecision (CI = [−.044, .214]), and significant Egger asymmetry (p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I² (96.2%) and trend-level Egger asymmetry (p = .072). Confidence in the pooled Neuroticism estimate was rated Low, reflecting moderate-to-high inconsistency (I²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The present systematic review and meta-analysis provides the first quantitative synthesis of the association between Big Five personality traits and academic achievement in online learning environments. Across 31 included primary studies, of which 10 contributed direct Pearson correlations to the primary achievement pool (total pooled N = 3,384), the pooled correlation between Conscientiousness and online academic achievement was r = .167 (95% CI [.089, .243]). Comparable estimates were obtained for Openness (r = .086 [−.044, .214]), Agreeableness (r = .112 [−.031, .250]), Neuroticism (r = .018 [−.079, .114]), and Extraversion (r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ρ of .20–.28, and Agreeableness showed a slightly larger effect than in face-to-face samples, driven by Chinese and Middle Eastern studies. Two pre-registered moderator effects were highly significant: Extraversion × Region (Q_between = 46.43, p &lt; .001), with Asian samples showing r = −.131 vs. non-Asian r = .050, and Extraversion × Outcome Type (Q_between = 17.30, p &lt; .001), with objective outcomes showing r = −.038 vs. self-rated r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Hypothesis 1 (Conscientiousness as strongest positive predictor). The pooled Conscientiousness–achievement correlation of r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ρ = .22), McAbee and Oswald (2013; ρ = .26), Vedel (2014; ρ = .26), Mammadov (2022; ρ = .27), and Chen et al. (2025; r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(r = .086) was the third-largest positive effect in the present synthesis, surpassed by both Conscientiousness (r = .167) and Agreeableness (r = .112). The 95% confidence interval crossed zero, and the estimate was comparable to the face-to-face benchmark of Mammadov (2022; ρ = .16) but substantially below the K-12 estimate of Meyer et al. (2023; ρ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Hypothesis 3 (Agreeableness as small positive effect, weaker than FtF). The pooled Agreeableness–achievement correlation was r = .112, slightly larger than the face-to-face benchmark range of .05–.10 (Poropat, 2009; Vedel, 2014; Chen et al., 2025). H3, which predicted a weaker rather than stronger effect, is therefore not supported. Examination of the primary corpus suggests that the pooled estimate is driven largely by Chinese undergraduate samples (A-28 Yu, 2021, converted β = .442; A-26 Wang et al., 2023, β to engagement = .112) and by Israeli samples (A-12 Baruth &amp; Cohen, 2022/2023, ρ = .458 with satisfaction). These findings converge with Mammadov's (2022) Asian-sample amplification pattern and with Chen et al.'s (2025) cultural-moderation findings. The region moderator analysis (Asia r = .330 vs. non-Asia r = .030) was directionally consistent with this interpretation but did not reach statistical significance (Q_between = 2.17, p = .140), owing to the small Asian subsample (k = 2).</w:t>
      </w:r>
    </w:p>
    <w:p>
      <w:pPr>
        <w:spacing w:line="480" w:lineRule="auto" w:before="0" w:after="0"/>
        <w:ind w:firstLine="720"/>
      </w:pPr>
      <w:r>
        <w:rPr>
          <w:rFonts w:ascii="Times New Roman" w:hAnsi="Times New Roman" w:eastAsia="Times New Roman"/>
          <w:sz w:val="24"/>
        </w:rPr>
        <w:t>Hypothesis 4 (Neuroticism as negative, more pronounced in fully online). The pooled Neuroticism–achievement correlation was r = .018, approximately null. H4, which predicted a negative pooled effect, is not supported by the primary analysis. Notably, the β-excluded sensitivity analysis (restricting the pool to studies with direct Pearson r) shifted the pooled Neuroticism estimate to r = −.043, partial directional support for H4 under the stricter analytic specification. The discrepancy between the primary and sensitivity analyses suggests that Peterson-Brown-converted β studies (principally Yu, 2021; Wang et al., 2023; Kaspar et al., 2023; Mustafa et al., 2022) systematically attenuate the Neuroticism effect, potentially because these studies control for multiple covariates in the β coefficients, diluting the zero-order Neuroticism-outcome association.</w:t>
      </w:r>
    </w:p>
    <w:p>
      <w:pPr>
        <w:spacing w:line="480" w:lineRule="auto" w:before="0" w:after="0"/>
        <w:ind w:firstLine="720"/>
      </w:pPr>
      <w:r>
        <w:rPr>
          <w:rFonts w:ascii="Times New Roman" w:hAnsi="Times New Roman" w:eastAsia="Times New Roman"/>
          <w:sz w:val="24"/>
        </w:rPr>
        <w:t>Hypothesis 5 (Extraversion as null or weak negative). The pooled Extraversion–achievement correlation was r = .002, consistent with H5's prediction of a null effect. H5 is supported. Moreover, two moderator analyses revealed systematic conditions under which Extraversion shifts in the negative direction predicted by H5's facet-level cancellation mechanism: in Asian samples the pooled effect was r = −.131 (95% CI [−.314, .061]; Q_between = 46.43, p &lt; .001), and in objective achievement outcomes the pooled effect was r = −.038 (Q_between = 17.30, p &lt; .001 against self-rated r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(r = .167 vs. face-to-face ρ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(2021) for second-order meta-analyses. Further replication with larger k is warranted before attributing this attenuation exclusively to the PASH mechanism.</w:t>
      </w:r>
    </w:p>
    <w:p>
      <w:pPr>
        <w:spacing w:line="480" w:lineRule="auto" w:before="0" w:after="0"/>
        <w:ind w:firstLine="720"/>
      </w:pPr>
      <w:r>
        <w:rPr>
          <w:rFonts w:ascii="Times New Roman" w:hAnsi="Times New Roman" w:eastAsia="Times New Roman"/>
          <w:sz w:val="24"/>
        </w:rPr>
        <w:t>Second, the null pooled Extraversion effect in online environments, combined with the highly significant region × Extraversion moderator (Asia r = −.131 vs. non-Asia r = .050; p &lt; .001) and outcome-type × Extraversion moderator (objective r = −.038 vs. self-rated r = .117; p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(r = .330 vs. non-Asia r = .030) did not reach significance in the present k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Fourth, the era moderator analysis did not reveal significant pre-COVID vs. COVID-era differences for any trait. In particular, Conscientiousness effects were comparable across eras (pre-COVID r = .208 vs. COVID r = .179; Q_between p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was too under-represented (k = 2 explicitly post-COVID studies) to support strong claims;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(r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For instructors operating in fully asynchronous contexts in East Asian or other collectivistic settings, the significantly negative Extraversion × Region effect (Asian r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r = −.038 vs. self-rated r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(r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2021)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τ²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(k = [k_achievement_direct]) was at the lower bound of what is generally considered adequate for robust random-effects estimation (Borenstein et al., 2021; Jackson et al., 2010). Although the pre-specified moderator analyses were designed under the assumption of a larger corpus, the effective k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I² values.</w:t>
      </w:r>
    </w:p>
    <w:p>
      <w:pPr>
        <w:spacing w:line="480" w:lineRule="auto" w:before="0" w:after="0"/>
        <w:ind w:firstLine="720"/>
      </w:pPr>
      <w:r>
        <w:rPr>
          <w:rFonts w:ascii="Times New Roman" w:hAnsi="Times New Roman" w:eastAsia="Times New Roman"/>
          <w:sz w:val="24"/>
        </w:rPr>
        <w:t>Sixth, the author's own prior primary study (Tokiwa, 2025) was included in the analysis as a potentially eligible record. A sensitivity analysis excluding this study [did / did not] alter the pooled estimates, and both results are reported transparently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2"/>
        <w:spacing w:line="480" w:lineRule="auto" w:before="0" w:after="0"/>
      </w:pPr>
      <w:r>
        <w:t>Conclusions</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(r = .167) but at somewhat reduced magnitude compared to traditional classroom benchmarks; Extraversion was null on average (r = .002) but showed a highly significant negative shift in Asian samples and in objective outcomes; Agreeableness was slightly larger than the face-to-face benchmark, driven by Chinese and Middle Eastern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N., &amp; Taşkaya Temizel, T. (2018). The impact of motivation and personality on academic performance in online and blended learning environments. </w:t>
      </w:r>
      <w:r>
        <w:rPr>
          <w:rFonts w:ascii="Times New Roman" w:hAnsi="Times New Roman" w:eastAsia="Times New Roman"/>
          <w:i/>
          <w:sz w:val="24"/>
        </w:rPr>
        <w:t>Educational Technology &amp; Society, 21</w:t>
      </w:r>
      <w:r>
        <w:rPr>
          <w:rFonts w:ascii="Times New Roman" w:hAnsi="Times New Roman" w:eastAsia="Times New Roman"/>
          <w:sz w:val="24"/>
        </w:rPr>
        <w:t>(3), 35–47.</w:t>
      </w:r>
    </w:p>
    <w:p>
      <w:pPr>
        <w:spacing w:line="480" w:lineRule="auto" w:before="0" w:after="0"/>
        <w:ind w:left="720" w:hanging="720"/>
      </w:pPr>
      <w:r>
        <w:rPr>
          <w:rFonts w:ascii="Times New Roman" w:hAnsi="Times New Roman" w:eastAsia="Times New Roman"/>
          <w:sz w:val="24"/>
        </w:rPr>
        <w:t xml:space="preserve">Ashton, M. C., &amp; Lee, K. (2007). Empirical, theoretical, and practical advantages of the HEXACO model of personality structure. </w:t>
      </w:r>
      <w:r>
        <w:rPr>
          <w:rFonts w:ascii="Times New Roman" w:hAnsi="Times New Roman" w:eastAsia="Times New Roman"/>
          <w:i/>
          <w:sz w:val="24"/>
        </w:rPr>
        <w:t>Personality and Social Psychology Review, 11</w:t>
      </w:r>
      <w:r>
        <w:rPr>
          <w:rFonts w:ascii="Times New Roman" w:hAnsi="Times New Roman" w:eastAsia="Times New Roman"/>
          <w:sz w:val="24"/>
        </w:rPr>
        <w:t>(2), 150–166. https://doi.org/10.1177/1088868306294907</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Borenstein, M., Hedges, L. V., Higgins, J. P. T., &amp; Rothstein, H. R. (2009). </w:t>
      </w:r>
      <w:r>
        <w:rPr>
          <w:rFonts w:ascii="Times New Roman" w:hAnsi="Times New Roman" w:eastAsia="Times New Roman"/>
          <w:i/>
          <w:sz w:val="24"/>
        </w:rPr>
        <w:t>Introduction to meta-analysis</w:t>
      </w:r>
      <w:r>
        <w:rPr>
          <w:rFonts w:ascii="Times New Roman" w:hAnsi="Times New Roman" w:eastAsia="Times New Roman"/>
          <w:sz w:val="24"/>
        </w:rPr>
        <w:t>. John Wiley &amp; Sons.</w:t>
      </w:r>
    </w:p>
    <w:p>
      <w:pPr>
        <w:spacing w:line="480" w:lineRule="auto" w:before="0" w:after="0"/>
        <w:ind w:left="720" w:hanging="720"/>
      </w:pPr>
      <w:r>
        <w:rPr>
          <w:rFonts w:ascii="Times New Roman" w:hAnsi="Times New Roman" w:eastAsia="Times New Roman"/>
          <w:sz w:val="24"/>
        </w:rPr>
        <w:t xml:space="preserve">Borenstein, M., Hedges, L. V., Higgins, J. P. T., &amp; Rothstein, H. R. (2021). </w:t>
      </w:r>
      <w:r>
        <w:rPr>
          <w:rFonts w:ascii="Times New Roman" w:hAnsi="Times New Roman" w:eastAsia="Times New Roman"/>
          <w:i/>
          <w:sz w:val="24"/>
        </w:rPr>
        <w:t>Introduction to meta-analysis</w:t>
      </w:r>
      <w:r>
        <w:rPr>
          <w:rFonts w:ascii="Times New Roman" w:hAnsi="Times New Roman" w:eastAsia="Times New Roman"/>
          <w:sz w:val="24"/>
        </w:rPr>
        <w:t xml:space="preserve">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M. L. (2023). Conscientiousness, prior experience, achievement emotions and academic procrastination in online learning environments. </w:t>
      </w:r>
      <w:r>
        <w:rPr>
          <w:rFonts w:ascii="Times New Roman" w:hAnsi="Times New Roman" w:eastAsia="Times New Roman"/>
          <w:i/>
          <w:sz w:val="24"/>
        </w:rPr>
        <w:t>British Journal of Educational Technology, 54</w:t>
      </w:r>
      <w:r>
        <w:rPr>
          <w:rFonts w:ascii="Times New Roman" w:hAnsi="Times New Roman" w:eastAsia="Times New Roman"/>
          <w:sz w:val="24"/>
        </w:rPr>
        <w:t>(4), 898–923. https://doi.org/10.1111/bjet.13302</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M., Davey Smith, G., Schneider, M., &amp; Minder, C. (1997). Bias in meta-analysis detected by a simple, graphical test. </w:t>
      </w:r>
      <w:r>
        <w:rPr>
          <w:rFonts w:ascii="Times New Roman" w:hAnsi="Times New Roman" w:eastAsia="Times New Roman"/>
          <w:i/>
          <w:sz w:val="24"/>
        </w:rPr>
        <w:t>BMJ, 315</w:t>
      </w:r>
      <w:r>
        <w:rPr>
          <w:rFonts w:ascii="Times New Roman" w:hAnsi="Times New Roman" w:eastAsia="Times New Roman"/>
          <w:sz w:val="24"/>
        </w:rPr>
        <w:t>(7109), 629–634. https://doi.org/10.1136/bmj.315.7109.629</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M., Cuijpers, P., Furukawa, T. A., &amp; Ebert, D. D. (2021). </w:t>
      </w:r>
      <w:r>
        <w:rPr>
          <w:rFonts w:ascii="Times New Roman" w:hAnsi="Times New Roman" w:eastAsia="Times New Roman"/>
          <w:i/>
          <w:sz w:val="24"/>
        </w:rPr>
        <w:t>Doing meta-analysis with R: A hands-on guide</w:t>
      </w:r>
      <w:r>
        <w:rPr>
          <w:rFonts w:ascii="Times New Roman" w:hAnsi="Times New Roman" w:eastAsia="Times New Roman"/>
          <w:sz w:val="24"/>
        </w:rPr>
        <w:t>. Chapman &amp; Hall/CRC Press.</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F. (2014). The Hartung-Knapp-Sidik-Jonkman method for random effects meta-analysis is straightforward and considerably outperforms the standard DerSimonian-Laird method. </w:t>
      </w:r>
      <w:r>
        <w:rPr>
          <w:rFonts w:ascii="Times New Roman" w:hAnsi="Times New Roman" w:eastAsia="Times New Roman"/>
          <w:i/>
          <w:sz w:val="24"/>
        </w:rPr>
        <w:t>BMC Medical Research Methodology, 14</w:t>
      </w:r>
      <w:r>
        <w:rPr>
          <w:rFonts w:ascii="Times New Roman" w:hAnsi="Times New Roman" w:eastAsia="Times New Roman"/>
          <w:sz w:val="24"/>
        </w:rPr>
        <w:t>, 25. https://doi.org/10.1186/1471-2288-14-25</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F. L. (2013). The criterion-related validity of personality measures for predicting GPA: A meta-analytic validity competition. </w:t>
      </w:r>
      <w:r>
        <w:rPr>
          <w:rFonts w:ascii="Times New Roman" w:hAnsi="Times New Roman" w:eastAsia="Times New Roman"/>
          <w:i/>
          <w:sz w:val="24"/>
        </w:rPr>
        <w:t>Psychological Assessment, 25</w:t>
      </w:r>
      <w:r>
        <w:rPr>
          <w:rFonts w:ascii="Times New Roman" w:hAnsi="Times New Roman" w:eastAsia="Times New Roman"/>
          <w:sz w:val="24"/>
        </w:rPr>
        <w:t>(2), 532–544. https://doi.org/10.1037/a0031748</w:t>
      </w:r>
    </w:p>
    <w:p>
      <w:pPr>
        <w:spacing w:line="480" w:lineRule="auto" w:before="0" w:after="0"/>
        <w:ind w:left="720" w:hanging="720"/>
      </w:pPr>
      <w:r>
        <w:rPr>
          <w:rFonts w:ascii="Times New Roman" w:hAnsi="Times New Roman" w:eastAsia="Times New Roman"/>
          <w:sz w:val="24"/>
        </w:rPr>
        <w:t xml:space="preserve">Meyer, J., Jansen, T., Hübner, N., &amp; Lüdtke, O. (2023). Disentangling the association between the Big Five personality traits and student achievement: Meta-analytic evidence on the role of domain specificity and achievement measures. </w:t>
      </w:r>
      <w:r>
        <w:rPr>
          <w:rFonts w:ascii="Times New Roman" w:hAnsi="Times New Roman" w:eastAsia="Times New Roman"/>
          <w:i/>
          <w:sz w:val="24"/>
        </w:rPr>
        <w:t>Educational Psychology Review, 35</w:t>
      </w:r>
      <w:r>
        <w:rPr>
          <w:rFonts w:ascii="Times New Roman" w:hAnsi="Times New Roman" w:eastAsia="Times New Roman"/>
          <w:sz w:val="24"/>
        </w:rPr>
        <w:t>(12), 1–34. https://doi.org/10.1007/s10648-023-09736-2</w:t>
      </w:r>
    </w:p>
    <w:p>
      <w:pPr>
        <w:spacing w:line="480" w:lineRule="auto" w:before="0" w:after="0"/>
        <w:ind w:left="720" w:hanging="720"/>
      </w:pPr>
      <w:r>
        <w:rPr>
          <w:rFonts w:ascii="Times New Roman" w:hAnsi="Times New Roman" w:eastAsia="Times New Roman"/>
          <w:sz w:val="24"/>
        </w:rPr>
        <w:t xml:space="preserve">Moher, D., Shamseer, L., Clarke, M., Ghersi, D., Liberati, A., Petticrew, M., Shekelle, P., Stewart, L. A., &amp; PRISMA-P Group. (2015). Preferred reporting items for systematic review and meta-analysis protocols (PRISMA-P) 2015 statement. </w:t>
      </w:r>
      <w:r>
        <w:rPr>
          <w:rFonts w:ascii="Times New Roman" w:hAnsi="Times New Roman" w:eastAsia="Times New Roman"/>
          <w:i/>
          <w:sz w:val="24"/>
        </w:rPr>
        <w:t>Systematic Reviews, 4</w:t>
      </w:r>
      <w:r>
        <w:rPr>
          <w:rFonts w:ascii="Times New Roman" w:hAnsi="Times New Roman" w:eastAsia="Times New Roman"/>
          <w:sz w:val="24"/>
        </w:rPr>
        <w:t>(1),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M., Qureshi, R., Mattis, P., Lisy, K., &amp; Mu, P.-F. (2017). Chapter 7: Systematic reviews of etiology and risk. In E. Aromataris &amp; Z. Munn (Eds.), </w:t>
      </w:r>
      <w:r>
        <w:rPr>
          <w:rFonts w:ascii="Times New Roman" w:hAnsi="Times New Roman" w:eastAsia="Times New Roman"/>
          <w:i/>
          <w:sz w:val="24"/>
        </w:rPr>
        <w:t>Joanna Briggs Institute Reviewer's Manual</w:t>
      </w:r>
      <w:r>
        <w:rPr>
          <w:rFonts w:ascii="Times New Roman" w:hAnsi="Times New Roman" w:eastAsia="Times New Roman"/>
          <w:sz w:val="24"/>
        </w:rPr>
        <w:t>. The Joanna Briggs Institute.</w:t>
      </w:r>
    </w:p>
    <w:p>
      <w:pPr>
        <w:spacing w:line="480" w:lineRule="auto" w:before="0" w:after="0"/>
        <w:ind w:left="720" w:hanging="720"/>
      </w:pPr>
      <w:r>
        <w:rPr>
          <w:rFonts w:ascii="Times New Roman" w:hAnsi="Times New Roman" w:eastAsia="Times New Roman"/>
          <w:sz w:val="24"/>
        </w:rP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rFonts w:ascii="Times New Roman" w:hAnsi="Times New Roman" w:eastAsia="Times New Roman"/>
          <w:i/>
          <w:sz w:val="24"/>
        </w:rPr>
        <w:t>BMJ, 372</w:t>
      </w:r>
      <w:r>
        <w:rPr>
          <w:rFonts w:ascii="Times New Roman" w:hAnsi="Times New Roman" w:eastAsia="Times New Roman"/>
          <w:sz w:val="24"/>
        </w:rPr>
        <w:t>, n71. https://doi.org/10.1136/bmj.n71</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N., &amp; Guyatt, G. H. (2019). Chapter 14: Completing "Summary of findings" tables and grading the certainty of the evidence. In J. P. T. Higgins, J. Thomas, J. Chandler, M. Cumpston, T. Li, M. J. Page, &amp; V. A. Welch (Eds.), </w:t>
      </w:r>
      <w:r>
        <w:rPr>
          <w:rFonts w:ascii="Times New Roman" w:hAnsi="Times New Roman" w:eastAsia="Times New Roman"/>
          <w:i/>
          <w:sz w:val="24"/>
        </w:rPr>
        <w:t>Cochrane handbook for systematic reviews of interventions</w:t>
      </w:r>
      <w:r>
        <w:rPr>
          <w:rFonts w:ascii="Times New Roman" w:hAnsi="Times New Roman" w:eastAsia="Times New Roman"/>
          <w:sz w:val="24"/>
        </w:rPr>
        <w:t xml:space="preserve">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F., &amp; Li, Z. (2023). Exploring the ecosystem of K-12 online learning: An empirical study of impact mechanisms in the post-pandemic era. </w:t>
      </w:r>
      <w:r>
        <w:rPr>
          <w:rFonts w:ascii="Times New Roman" w:hAnsi="Times New Roman" w:eastAsia="Times New Roman"/>
          <w:i/>
          <w:sz w:val="24"/>
        </w:rPr>
        <w:t>Frontiers in Psychology, 14</w:t>
      </w:r>
      <w:r>
        <w:rPr>
          <w:rFonts w:ascii="Times New Roman" w:hAnsi="Times New Roman" w:eastAsia="Times New Roman"/>
          <w:sz w:val="24"/>
        </w:rPr>
        <w:t>,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(2021).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b/>
                <w:sz w:val="20"/>
              </w:rPr>
              <w:t>Q(df), 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i/>
          <w:sz w:val="22"/>
        </w:rPr>
        <w:t xml:space="preserve">Note. </w:t>
      </w:r>
      <w:r>
        <w:rPr>
          <w:rFonts w:ascii="Times New Roman" w:hAnsi="Times New Roman"/>
          <w:sz w:val="22"/>
        </w:rPr>
        <w:t>k = number of independent samples contributing a direct Pearson r or Peterson-Brown-converted β to the trait pool. N = total pooled sample size. r = random-effects REML pooled correlation on the Fisher z scale, back-transformed to r for display. 95% CI = Hartung-Knapp-Sidik-Jonkman–adjusted confidence interval. 95% PI = prediction interval for true effects in a new study. I² = Higgins &amp; Thompson's heterogeneity index. τ² = REML between-study variance. Q = Cochran's heterogeneity statistic; df = degrees of freedom; p = associated p-value. Traits are sorted by pooled r (descending).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