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37466e2f36ed89febc4801124819a3c2ad05d06"/>
    <w:p>
      <w:pPr>
        <w:pStyle w:val="Heading1"/>
      </w:pPr>
      <w:r>
        <w:t xml:space="preserve">Cultural dimensions in online learning: A Hofstede-moderated within-Asia synthesis of the Big Five and academic achievement, with a focused look at the Japanese context</w:t>
      </w:r>
    </w:p>
    <w:p>
      <w:pPr>
        <w:pStyle w:val="FirstParagraph"/>
      </w:pPr>
      <w:r>
        <w:rPr>
          <w:bCs/>
          <w:b/>
        </w:rPr>
        <w:t xml:space="preserve">Author</w:t>
      </w:r>
      <w:r>
        <w:t xml:space="preserve">: Eisuke Tokiwa</w:t>
      </w:r>
      <w:r>
        <w:t xml:space="preserve"> </w:t>
      </w:r>
      <w:r>
        <w:rPr>
          <w:bCs/>
          <w:b/>
        </w:rPr>
        <w:t xml:space="preserve">Affiliation</w:t>
      </w:r>
      <w:r>
        <w:t xml:space="preserve">: SUNBLAZE Co., Ltd., Tokyo, Japan</w:t>
      </w:r>
      <w:r>
        <w:t xml:space="preserve"> </w:t>
      </w:r>
      <w:r>
        <w:rPr>
          <w:bCs/>
          <w:b/>
        </w:rPr>
        <w:t xml:space="preserve">ORCID</w:t>
      </w:r>
      <w:r>
        <w:t xml:space="preserve">: 0009-0009-7124-6669</w:t>
      </w:r>
      <w:r>
        <w:t xml:space="preserve"> </w:t>
      </w:r>
      <w:r>
        <w:rPr>
          <w:bCs/>
          <w:b/>
        </w:rPr>
        <w:t xml:space="preserve">Email</w:t>
      </w:r>
      <w:r>
        <w:t xml:space="preserve">: eisuke.tokiwa@sunblaze.jp</w:t>
      </w:r>
    </w:p>
    <w:p>
      <w:pPr>
        <w:pStyle w:val="BodyText"/>
      </w:pPr>
      <w:r>
        <w:rPr>
          <w:bCs/>
          <w:b/>
        </w:rPr>
        <w:t xml:space="preserve">Target venue</w:t>
      </w:r>
      <w:r>
        <w:t xml:space="preserve">: ICEEL 2026 — International Conference on Education and E-Learning, Tokyo, Japan</w:t>
      </w:r>
      <w:r>
        <w:t xml:space="preserve"> </w:t>
      </w:r>
      <w:r>
        <w:rPr>
          <w:bCs/>
          <w:b/>
        </w:rPr>
        <w:t xml:space="preserve">Target length</w:t>
      </w:r>
      <w:r>
        <w:t xml:space="preserve">: 6 pages, ICEEL conference template</w:t>
      </w:r>
      <w:r>
        <w:t xml:space="preserve"> </w:t>
      </w:r>
      <w:r>
        <w:rPr>
          <w:bCs/>
          <w:b/>
        </w:rPr>
        <w:t xml:space="preserve">Manuscript draft</w:t>
      </w:r>
      <w:r>
        <w:t xml:space="preserve">: 2026-05-09 (numbers traceable to</w:t>
      </w:r>
      <w:r>
        <w:t xml:space="preserve"> </w:t>
      </w:r>
      <w:r>
        <w:rPr>
          <w:rStyle w:val="VerbatimChar"/>
        </w:rPr>
        <w:t xml:space="preserve">metaanalysis/conference_submissions/iceel/results/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parent meta-analysis (Research Square preprint, DOI 10.21203/rs.3.rs-9513298/v1) reports a binary Region moderator (Asia vs non-Asia) with Extraversion × Region highly significant (Q_between = 46.43, p &lt; .001; Asian r = −0.131 vs non-Asian r = +0.050). The within-Asia heterogeneity producing this contrast is not decomposed in the preprint. The present paper attaches Hofstede 6-D cultural-dimensions scores at the country level (PDI, IDV, MAS, UAI, LTO, IND) and tests, in the Asian subset (k = 2 with extractable Pearson r: A-28 Yu, China; A-31 Rivers, Japan; plus A-25 Tokiwa, Japan, in narrative synthesis), whether the observed Big Five — outcome direction in Japan studies matches the directions Hofstede &amp; McCrae (2004) predict from Japan’s dimensional profile. With k = 2 the Hofstede meta-regression has zero residual degrees of freedom and slopes are descriptive only. The Asian-subset pooled correlations replicate the preprint exactly (C r = 0.111; E r = −0.131; N r = 0.089). The Japan-direction-match analysis (Table 4) yields</w:t>
      </w:r>
      <w:r>
        <w:t xml:space="preserve"> </w:t>
      </w:r>
      <w:r>
        <w:rPr>
          <w:bCs/>
          <w:b/>
        </w:rPr>
        <w:t xml:space="preserve">3 of 5 traits matching Hofstede &amp; McCrae (2004) predictions</w:t>
      </w:r>
      <w:r>
        <w:t xml:space="preserve">: C+ (Power Distance r = .43), E− (Individualism r = .39), and most notably</w:t>
      </w:r>
      <w:r>
        <w:t xml:space="preserve"> </w:t>
      </w:r>
      <w:r>
        <w:rPr>
          <w:bCs/>
          <w:b/>
        </w:rPr>
        <w:t xml:space="preserve">N+</w:t>
      </w:r>
      <w:r>
        <w:t xml:space="preserve"> </w:t>
      </w:r>
      <w:r>
        <w:t xml:space="preserve">— opposite to the Western N− finding (Poropat 2009; Mammadov 2022) — supported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and doubly predicted by Japan’s very high Uncertainty Avoidance (UAI = 92, HM04 r = .31) and very high Masculinity (MAS = 95, HM04 r = .30). The Agreeableness mismatch (predicted −, observed +) suggests that online-learning</w:t>
      </w:r>
      <w:r>
        <w:t xml:space="preserve"> </w:t>
      </w:r>
      <w:r>
        <w:rPr>
          <w:iCs/>
          <w:i/>
        </w:rPr>
        <w:t xml:space="preserve">behaviour-level</w:t>
      </w:r>
      <w:r>
        <w:t xml:space="preserve"> </w:t>
      </w:r>
      <w:r>
        <w:t xml:space="preserve">A engagement may decouple from population trait-level A. A second-order finding is instrument heterogeneity (60-item BFI-2-J vs 10-item TIPI-J) as a major confound that future Japan-specific syntheses cannot ignore.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meta-analysis, Big Five, online learning, Hofstede cultural dimensions, Japan.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Big Five — academic-achievement link is robust at the trait level but is increasingly recognised as conditional on cultural context. Mammadov (2022) flagged Asian samples as showing systematically different patterns from Euro-North-American samples, with Conscientiousness amplified in some Asian sub-populations (rho up to .35 in his Asian-only subgroup) and Extraversion sometimes inverted. Chen, Cheung, and Zeng (2025) — the most recent university-only Big Five — academic-performance meta-analysis (k = 84, N = 46,729; coverage 1995 — 2024) — confirms the smaller and more variable Extraversion effect (r = .076 across all samples, with substantial between-region heterogeneity). The trait-activation framing therefore has empirical legs even if the within-Asia structure has not been decomposed.</w:t>
      </w:r>
    </w:p>
    <w:p>
      <w:pPr>
        <w:pStyle w:val="BodyText"/>
      </w:pPr>
      <w:r>
        <w:t xml:space="preserve">The parent preprint (Tokiwa, 2026, Research Square preprint DOI 10.21203/rs.3.rs-9513298/v1) confirms the binary Asia / non-Asia contrast at the trait-by-region level, with</w:t>
      </w:r>
      <w:r>
        <w:t xml:space="preserve"> </w:t>
      </w:r>
      <w:r>
        <w:rPr>
          <w:bCs/>
          <w:b/>
        </w:rPr>
        <w:t xml:space="preserve">Extraversion x Region</w:t>
      </w:r>
      <w:r>
        <w:t xml:space="preserve"> </w:t>
      </w:r>
      <w:r>
        <w:t xml:space="preserve">the headline finding (Q_between = 46.43, p &lt; .001; Asian samples r = -0.131 vs non-Asian r = +0.050). What the preprint does not do is decompose the Asian bin into its country-level constituents. Yet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is heterogeneous in cultural terms: Japan and China are nominally collectivist but differ sharply on Power Distance, Indulgence, and Uncertainty Avoidance (Hofstede Insights 2024); Korea and Taiwan add further variation; the within-region structure is meaningful and theoretically interesting.</w:t>
      </w:r>
    </w:p>
    <w:p>
      <w:pPr>
        <w:pStyle w:val="BodyText"/>
      </w:pPr>
      <w:r>
        <w:t xml:space="preserve">This paper asks a simple question:</w:t>
      </w:r>
      <w:r>
        <w:t xml:space="preserve"> </w:t>
      </w:r>
      <w:r>
        <w:rPr>
          <w:bCs/>
          <w:b/>
        </w:rPr>
        <w:t xml:space="preserve">once you decompose the Asia bin, do Hofstede cultural dimensions predict trait — achievement correlations within Asia?</w:t>
      </w:r>
    </w:p>
    <w:p>
      <w:pPr>
        <w:pStyle w:val="BodyText"/>
      </w:pPr>
      <w:r>
        <w:t xml:space="preserve">The answer, given the present corpus, is preliminary and methodological. The Asian primary-pool subset has only k = 2 studies that contribute extractable Pearson correlations (A-28 Yu, China; A-31 Rivers, Japan). A 2-parameter regression on k = 2 has zero residual degrees of freedom; slopes can be computed but no inference is possible. We therefore reframe the paper not as a confirmatory cultural-dimensions test but as a</w:t>
      </w:r>
      <w:r>
        <w:t xml:space="preserve"> </w:t>
      </w:r>
      <w:r>
        <w:rPr>
          <w:iCs/>
          <w:i/>
        </w:rPr>
        <w:t xml:space="preserve">methodological documentation</w:t>
      </w:r>
      <w:r>
        <w:t xml:space="preserve"> </w:t>
      </w:r>
      <w:r>
        <w:t xml:space="preserve">that the binary Asia / non-Asia contrast in the parent preprint conceals a within-Asia structure that the field’s current evidence base is too thin to resolve.</w:t>
      </w:r>
    </w:p>
    <w:p>
      <w:r>
        <w:pict>
          <v:rect style="width:0;height:1.5pt" o:hralign="center" o:hrstd="t" o:hr="t"/>
        </w:pict>
      </w:r>
    </w:p>
    <w:bookmarkEnd w:id="21"/>
    <w:bookmarkStart w:id="25" w:name="related-work"/>
    <w:p>
      <w:pPr>
        <w:pStyle w:val="Heading2"/>
      </w:pPr>
      <w:r>
        <w:t xml:space="preserve">2. Related Work</w:t>
      </w:r>
    </w:p>
    <w:bookmarkStart w:id="22" w:name="X94e85d3f42ba2d3f3112a3ae1ee492e8b6e3b1c"/>
    <w:p>
      <w:pPr>
        <w:pStyle w:val="Heading3"/>
      </w:pPr>
      <w:r>
        <w:t xml:space="preserve">2.1. Hofstede’s framework, Big Five linkages, and educational implications</w:t>
      </w:r>
    </w:p>
    <w:p>
      <w:pPr>
        <w:pStyle w:val="FirstParagraph"/>
      </w:pPr>
      <w:r>
        <w:t xml:space="preserve">Hofstede’s (2001) 2nd-edition model — building on the original 4-dimensional 1970s IBM-employee study and incorporating subsequent 5-D and 6-D extensions (latest scores: Hofstede Insights, 2024) — operationalises national culture in terms of Power Distance (PDI), Individualism (IDV), Masculinity (MAS), Uncertainty Avoidance (UAI), Long-Term Orientation (LTO), and Indulgence (IND). The framework is widely critiqued — most pointedly by Minkov &amp; Hofstede (2014) and McSweeney (2002) — for ecological-fallacy risk and for the 1970s IBM-sample provenance. We use Hofstede here as country-level proxies for shared cultural orientation that may correlate with research-relevant moderators of personality–achievement effects, with full acknowledgement of these limitations.</w:t>
      </w:r>
    </w:p>
    <w:p>
      <w:pPr>
        <w:pStyle w:val="BodyText"/>
      </w:pPr>
      <w:r>
        <w:rPr>
          <w:bCs/>
          <w:b/>
        </w:rPr>
        <w:t xml:space="preserve">Big Five × Hofstede linkages (primary source).</w:t>
      </w:r>
      <w:r>
        <w:t xml:space="preserve"> </w:t>
      </w:r>
      <w:r>
        <w:t xml:space="preserve">Hofstede &amp; McCrae (2004) report country-level correlations between aggregate NEO-PI-R Big Five trait means and Hofstede dimension scores. The correlations directly relevant to our Asian-subset analysis are:</w:t>
      </w:r>
    </w:p>
    <w:p>
      <w:pPr>
        <w:numPr>
          <w:ilvl w:val="0"/>
          <w:numId w:val="1001"/>
        </w:numPr>
        <w:pStyle w:val="Compact"/>
      </w:pPr>
      <w:r>
        <w:t xml:space="preserve">Uncertainty Avoidance × Neuroticism:</w:t>
      </w:r>
      <w:r>
        <w:t xml:space="preserve"> </w:t>
      </w:r>
      <w:r>
        <w:rPr>
          <w:bCs/>
          <w:b/>
        </w:rPr>
        <w:t xml:space="preserve">r = +0.31</w:t>
      </w:r>
      <w:r>
        <w:t xml:space="preserve"> </w:t>
      </w:r>
      <w:r>
        <w:t xml:space="preserve">(high-UAI countries → higher trait N)</w:t>
      </w:r>
    </w:p>
    <w:p>
      <w:pPr>
        <w:numPr>
          <w:ilvl w:val="0"/>
          <w:numId w:val="1001"/>
        </w:numPr>
        <w:pStyle w:val="Compact"/>
      </w:pPr>
      <w:r>
        <w:t xml:space="preserve">Uncertainty Avoidance × Agreeableness:</w:t>
      </w:r>
      <w:r>
        <w:t xml:space="preserve"> </w:t>
      </w:r>
      <w:r>
        <w:rPr>
          <w:bCs/>
          <w:b/>
        </w:rPr>
        <w:t xml:space="preserve">r = −0.45</w:t>
      </w:r>
      <w:r>
        <w:t xml:space="preserve"> </w:t>
      </w:r>
      <w:r>
        <w:t xml:space="preserve">(high-UAI countries → lower trait A)</w:t>
      </w:r>
    </w:p>
    <w:p>
      <w:pPr>
        <w:numPr>
          <w:ilvl w:val="0"/>
          <w:numId w:val="1001"/>
        </w:numPr>
        <w:pStyle w:val="Compact"/>
      </w:pPr>
      <w:r>
        <w:t xml:space="preserve">Power Distance × Conscientiousness:</w:t>
      </w:r>
      <w:r>
        <w:t xml:space="preserve"> </w:t>
      </w:r>
      <w:r>
        <w:rPr>
          <w:bCs/>
          <w:b/>
        </w:rPr>
        <w:t xml:space="preserve">r = +0.43</w:t>
      </w:r>
    </w:p>
    <w:p>
      <w:pPr>
        <w:numPr>
          <w:ilvl w:val="0"/>
          <w:numId w:val="1001"/>
        </w:numPr>
        <w:pStyle w:val="Compact"/>
      </w:pPr>
      <w:r>
        <w:t xml:space="preserve">Power Distance × Extraversion:</w:t>
      </w:r>
      <w:r>
        <w:t xml:space="preserve"> </w:t>
      </w:r>
      <w:r>
        <w:rPr>
          <w:bCs/>
          <w:b/>
        </w:rPr>
        <w:t xml:space="preserve">r = −0.31</w:t>
      </w:r>
    </w:p>
    <w:p>
      <w:pPr>
        <w:numPr>
          <w:ilvl w:val="0"/>
          <w:numId w:val="1001"/>
        </w:numPr>
        <w:pStyle w:val="Compact"/>
      </w:pPr>
      <w:r>
        <w:t xml:space="preserve">Individualism × Extraversion:</w:t>
      </w:r>
      <w:r>
        <w:t xml:space="preserve"> </w:t>
      </w:r>
      <w:r>
        <w:rPr>
          <w:bCs/>
          <w:b/>
        </w:rPr>
        <w:t xml:space="preserve">r = +0.39</w:t>
      </w:r>
      <w:r>
        <w:t xml:space="preserve"> </w:t>
      </w:r>
      <w:r>
        <w:t xml:space="preserve">(individualist countries → higher trait E)</w:t>
      </w:r>
    </w:p>
    <w:p>
      <w:pPr>
        <w:numPr>
          <w:ilvl w:val="0"/>
          <w:numId w:val="1001"/>
        </w:numPr>
        <w:pStyle w:val="Compact"/>
      </w:pPr>
      <w:r>
        <w:t xml:space="preserve">Masculinity × Neuroticism:</w:t>
      </w:r>
      <w:r>
        <w:t xml:space="preserve"> </w:t>
      </w:r>
      <w:r>
        <w:rPr>
          <w:bCs/>
          <w:b/>
        </w:rPr>
        <w:t xml:space="preserve">r = +0.30</w:t>
      </w:r>
    </w:p>
    <w:p>
      <w:pPr>
        <w:numPr>
          <w:ilvl w:val="0"/>
          <w:numId w:val="1001"/>
        </w:numPr>
        <w:pStyle w:val="Compact"/>
      </w:pPr>
      <w:r>
        <w:t xml:space="preserve">Masculinity × Openness:</w:t>
      </w:r>
      <w:r>
        <w:t xml:space="preserve"> </w:t>
      </w:r>
      <w:r>
        <w:rPr>
          <w:bCs/>
          <w:b/>
        </w:rPr>
        <w:t xml:space="preserve">r = +0.37</w:t>
      </w:r>
    </w:p>
    <w:p>
      <w:pPr>
        <w:pStyle w:val="FirstParagraph"/>
      </w:pPr>
      <w:r>
        <w:rPr>
          <w:bCs/>
          <w:b/>
        </w:rPr>
        <w:t xml:space="preserve">Educational mechanism.</w:t>
      </w:r>
      <w:r>
        <w:t xml:space="preserve"> </w:t>
      </w:r>
      <w:r>
        <w:t xml:space="preserve">Hofstede (1986), applying the 4-D model to teaching and learning, characterises strong-UAI societies as ones in which students prefer</w:t>
      </w:r>
      <w:r>
        <w:t xml:space="preserve"> </w:t>
      </w:r>
      <w:r>
        <w:t xml:space="preserve">“</w:t>
      </w:r>
      <w:r>
        <w:t xml:space="preserve">structured learning situations: precise objectives, detailed assignments, strict timetables</w:t>
      </w:r>
      <w:r>
        <w:t xml:space="preserve">”</w:t>
      </w:r>
      <w:r>
        <w:t xml:space="preserve">, are rewarded for</w:t>
      </w:r>
      <w:r>
        <w:t xml:space="preserve"> </w:t>
      </w:r>
      <w:r>
        <w:t xml:space="preserve">“</w:t>
      </w:r>
      <w:r>
        <w:t xml:space="preserve">accuracy in problem solving</w:t>
      </w:r>
      <w:r>
        <w:t xml:space="preserve">”</w:t>
      </w:r>
      <w:r>
        <w:t xml:space="preserve">, and where both teachers and students are</w:t>
      </w:r>
      <w:r>
        <w:t xml:space="preserve"> </w:t>
      </w:r>
      <w:r>
        <w:t xml:space="preserve">“</w:t>
      </w:r>
      <w:r>
        <w:t xml:space="preserve">allowed to behave emotionally</w:t>
      </w:r>
      <w:r>
        <w:t xml:space="preserve">”</w:t>
      </w:r>
      <w:r>
        <w:t xml:space="preserve">. This sketches a plausible mechanism by which Neuroticism — the tendency toward anxiety, sensitivity, and worry — may</w:t>
      </w:r>
      <w:r>
        <w:t xml:space="preserve"> </w:t>
      </w:r>
      <w:r>
        <w:rPr>
          <w:iCs/>
          <w:i/>
        </w:rPr>
        <w:t xml:space="preserve">promote</w:t>
      </w:r>
      <w:r>
        <w:t xml:space="preserve"> </w:t>
      </w:r>
      <w:r>
        <w:t xml:space="preserve">(rather than impede) academic engagement in high-UAI educational contexts: anxiety drives careful, structured, accuracy-focused study behaviour that fits the cultural expectation.</w:t>
      </w:r>
    </w:p>
    <w:p>
      <w:pPr>
        <w:pStyle w:val="BodyText"/>
      </w:pPr>
      <w:r>
        <w:rPr>
          <w:bCs/>
          <w:b/>
        </w:rPr>
        <w:t xml:space="preserve">Trait-level country profiles.</w:t>
      </w:r>
      <w:r>
        <w:t xml:space="preserve"> </w:t>
      </w:r>
      <w:r>
        <w:t xml:space="preserve">Cross-cultural Big Five surveys provide a complementary anchor. Schmitt et al. (2007) report Japan’s NEO-PI-R-mapped trait Neuroticism mean at 57.87, near the top of the 56-nation distribution; Allik &amp; McCrae (2004) note that Japan does not cluster cleanly with other East Asian samples in their 36-culture analysis. Both findings reinforce the view that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as a moderator level is a weak proxy for a country whose own dimensional profile is distinctive.</w:t>
      </w:r>
    </w:p>
    <w:p>
      <w:pPr>
        <w:pStyle w:val="BodyText"/>
      </w:pPr>
      <w:r>
        <w:rPr>
          <w:bCs/>
          <w:b/>
        </w:rPr>
        <w:t xml:space="preserve">Predictions for Japan.</w:t>
      </w:r>
      <w:r>
        <w:t xml:space="preserve"> </w:t>
      </w:r>
      <w:r>
        <w:t xml:space="preserve">Japan’s Hofstede scores (PDI = 54, IDV = 46, MAS = 95, UAI = 92, LTO = 88, IND = 42; Hofstede Insights, 2024) translate via Hofstede &amp; McCrae (2004) into the following predicted directions for Big Five–achievement correlations in Japan: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C: positive</w:t>
      </w:r>
      <w:r>
        <w:t xml:space="preserve"> </w:t>
      </w:r>
      <w:r>
        <w:t xml:space="preserve">(PDI moderate-high → +C, r = .43 in HM04)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E: negative</w:t>
      </w:r>
      <w:r>
        <w:t xml:space="preserve"> </w:t>
      </w:r>
      <w:r>
        <w:t xml:space="preserve">(low IDV → strongly −E via r = .39; supplementary −E from moderate-high PDI)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N: positive</w:t>
      </w:r>
      <w:r>
        <w:t xml:space="preserve"> </w:t>
      </w:r>
      <w:r>
        <w:t xml:space="preserve">(very high UAI → +N via r = .31; very high MAS → additional +N via r = .30,</w:t>
      </w:r>
      <w:r>
        <w:t xml:space="preserve"> </w:t>
      </w:r>
      <w:r>
        <w:rPr>
          <w:iCs/>
          <w:i/>
        </w:rPr>
        <w:t xml:space="preserve">double-supported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A: negative</w:t>
      </w:r>
      <w:r>
        <w:t xml:space="preserve"> </w:t>
      </w:r>
      <w:r>
        <w:t xml:space="preserve">(very high UAI → −A via r = .45)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O: positive (weak)</w:t>
      </w:r>
      <w:r>
        <w:t xml:space="preserve"> </w:t>
      </w:r>
      <w:r>
        <w:t xml:space="preserve">(high MAS → +O via r = .37)</w:t>
      </w:r>
    </w:p>
    <w:p>
      <w:pPr>
        <w:pStyle w:val="FirstParagraph"/>
      </w:pPr>
      <w:r>
        <w:t xml:space="preserve">The N+ prediction is particularly noteworthy because it is</w:t>
      </w:r>
      <w:r>
        <w:t xml:space="preserve"> </w:t>
      </w:r>
      <w:r>
        <w:rPr>
          <w:bCs/>
          <w:b/>
        </w:rPr>
        <w:t xml:space="preserve">opposite</w:t>
      </w:r>
      <w:r>
        <w:t xml:space="preserve"> </w:t>
      </w:r>
      <w:r>
        <w:t xml:space="preserve">to the consistent N− finding in Western Big Five-achievement meta-analyses (Poropat 2009; Mammadov 2022). It is a strong test of whether the parent preprint’s Asian-subset N pooled r = +0.089 reflects a culturally-shaped reversal rather than statistical noise.</w:t>
      </w:r>
    </w:p>
    <w:bookmarkEnd w:id="22"/>
    <w:bookmarkStart w:id="23" w:name="X79f940698aa2ce669295811081f02aaba4d0287"/>
    <w:p>
      <w:pPr>
        <w:pStyle w:val="Heading3"/>
      </w:pPr>
      <w:r>
        <w:t xml:space="preserve">2.2. East Asian samples in personality — academic-achievement research</w:t>
      </w:r>
    </w:p>
    <w:p>
      <w:pPr>
        <w:pStyle w:val="FirstParagraph"/>
      </w:pPr>
      <w:r>
        <w:t xml:space="preserve">Reviews specific to East Asian samples (Chen et al. 2025; Mammadov 2022) report two recurring patterns: (i) Conscientiousness is at least as strong a predictor of achievement as in Western samples, often slightly stronger in collectivist sub-populations; and (ii) Extraversion’s role is attenuated or reversed in collectivist contexts where individual social initiative is valued less highly. The preprint’s Asian subset findings (E r = -0.131; C r = +0.111) are consistent with this pattern.</w:t>
      </w:r>
    </w:p>
    <w:bookmarkEnd w:id="23"/>
    <w:bookmarkStart w:id="24" w:name="japanese-online-learning-context"/>
    <w:p>
      <w:pPr>
        <w:pStyle w:val="Heading3"/>
      </w:pPr>
      <w:r>
        <w:t xml:space="preserve">2.3. Japanese online learning context</w:t>
      </w:r>
    </w:p>
    <w:p>
      <w:pPr>
        <w:pStyle w:val="FirstParagraph"/>
      </w:pPr>
      <w:r>
        <w:t xml:space="preserve">Japan-specific online-learning research is dominated by two patterns. First, the use of the</w:t>
      </w:r>
      <w:r>
        <w:t xml:space="preserve"> </w:t>
      </w:r>
      <w:r>
        <w:rPr>
          <w:iCs/>
          <w:i/>
        </w:rPr>
        <w:t xml:space="preserve">StudySapuri</w:t>
      </w:r>
      <w:r>
        <w:t xml:space="preserve"> </w:t>
      </w:r>
      <w:r>
        <w:t xml:space="preserve">commercial LMS by K-12 cohorts (asynchronous, self-paced video lectures plus practice problems) — A-25 Tokiwa (2025) is one such cohort. Second, the use of</w:t>
      </w:r>
      <w:r>
        <w:t xml:space="preserve"> </w:t>
      </w:r>
      <w:r>
        <w:rPr>
          <w:iCs/>
          <w:i/>
        </w:rPr>
        <w:t xml:space="preserve">Moodle</w:t>
      </w:r>
      <w:r>
        <w:t xml:space="preserve"> </w:t>
      </w:r>
      <w:r>
        <w:t xml:space="preserve">in undergraduate language education (asynchronous LMS-paced reading and writing assignments) — A-31 Rivers (2021) is the example here. Both studies use asynchronous formats, but their personality instruments (60-item BFI-2-J vs 10-item TIPI-J) differ by an order of magnitude in measurement granularity, which is a major between-study confound that the present synthesis surfaces.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method"/>
    <w:p>
      <w:pPr>
        <w:pStyle w:val="Heading2"/>
      </w:pPr>
      <w:r>
        <w:t xml:space="preserve">3. Method</w:t>
      </w:r>
    </w:p>
    <w:bookmarkStart w:id="29" w:name="data"/>
    <w:p>
      <w:pPr>
        <w:pStyle w:val="Heading3"/>
      </w:pPr>
      <w:r>
        <w:t xml:space="preserve">3.1. Data</w:t>
      </w:r>
    </w:p>
    <w:p>
      <w:pPr>
        <w:pStyle w:val="FirstParagraph"/>
      </w:pPr>
      <w:r>
        <w:t xml:space="preserve">The corpus is inherited from the parent preprint via the derived studies dataset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 PRISMA 2020 standards (Page et al., 2021) were followed;</w:t>
      </w:r>
      <w:r>
        <w:t xml:space="preserve"> </w:t>
      </w:r>
      <w:r>
        <w:rPr>
          <w:bCs/>
          <w:b/>
        </w:rPr>
        <w:t xml:space="preserve">Figure 1</w:t>
      </w:r>
      <w:r>
        <w:t xml:space="preserve"> </w:t>
      </w:r>
      <w:r>
        <w:t xml:space="preserve">reproduces the flow diagram with the ICEEL terminal box marking the Asian-subset extraction (k = 2 with extractable r per trait; A-25 Tokiwa Japan retained for qualitative synthesis only). The Asian subset is extracted by</w:t>
      </w:r>
      <w:r>
        <w:t xml:space="preserve"> </w:t>
      </w:r>
      <w:r>
        <w:rPr>
          <w:rStyle w:val="VerbatimChar"/>
        </w:rPr>
        <w:t xml:space="preserve">region == "Asia"</w:t>
      </w:r>
      <w:r>
        <w:t xml:space="preserve">. After requiring extractable Pearson r per trait, k = 2 Asian primary-pool studies remain: A-28 Yu (China; β-converted r) and A-31 Rivers (Japan; direct r). Two further Asian primary-pool studies (A-25 Tokiwa, A-26 Wang) are present in the qualitative synthesis but do not contribute extractable r values.</w:t>
      </w:r>
    </w:p>
    <w:p>
      <w:pPr>
        <w:pStyle w:val="CaptionedFigure"/>
      </w:pPr>
      <w:r>
        <w:drawing>
          <wp:inline>
            <wp:extent cx="4533900" cy="5658766"/>
            <wp:effectExtent b="0" l="0" r="0" t="0"/>
            <wp:docPr descr="Figure 1. PRISMA 2020 flow diagram (ICEEL 2026 submission). Identification → Screening → Eligibility → Included counts trace from metaanalysis/search_log.md; the ICEEL terminal box marks the Asian primary-pool subset (k = 2 with extractable r per trait: A-28 Yu, China; A-31 Rivers, Japan; plus A-25 Tokiwa Japan in narrative synthesis). Adapted from Page et al. (2021), BMJ, 372, n71." title="" id="27" name="Picture"/>
            <a:graphic>
              <a:graphicData uri="http://schemas.openxmlformats.org/drawingml/2006/picture">
                <pic:pic>
                  <pic:nvPicPr>
                    <pic:cNvPr descr="../figures/prisma_flow_ice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658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PRISMA 2020 flow diagram (ICEEL 2026 submission). Identification → Screening → Eligibility → Included counts trace from</w:t>
      </w:r>
      <w:r>
        <w:t xml:space="preserve"> </w:t>
      </w:r>
      <w:r>
        <w:rPr>
          <w:rStyle w:val="VerbatimChar"/>
        </w:rPr>
        <w:t xml:space="preserve">metaanalysis/search_log.md</w:t>
      </w:r>
      <w:r>
        <w:t xml:space="preserve">; the ICEEL terminal box marks the Asian primary-pool subset (k = 2 with extractable r per trait: A-28 Yu, China; A-31 Rivers, Japan; plus A-25 Tokiwa Japan in narrative synthesis). Adapted from Page et al. (2021),</w:t>
      </w:r>
      <w:r>
        <w:t xml:space="preserve"> </w:t>
      </w:r>
      <w:r>
        <w:rPr>
          <w:iCs/>
          <w:i/>
        </w:rPr>
        <w:t xml:space="preserve">BMJ</w:t>
      </w:r>
      <w:r>
        <w:t xml:space="preserve">, 372, n71.</w:t>
      </w:r>
    </w:p>
    <w:bookmarkEnd w:id="29"/>
    <w:bookmarkStart w:id="30" w:name="hofstede-cultural-dimensions-table"/>
    <w:p>
      <w:pPr>
        <w:pStyle w:val="Heading3"/>
      </w:pPr>
      <w:r>
        <w:t xml:space="preserve">3.2. Hofstede cultural-dimensions table</w:t>
      </w:r>
    </w:p>
    <w:p>
      <w:pPr>
        <w:pStyle w:val="FirstParagraph"/>
      </w:pPr>
      <w:r>
        <w:t xml:space="preserve">Country-level Hofstede 6-D scores are encoded inline in the analysis script (</w:t>
      </w:r>
      <w:r>
        <w:rPr>
          <w:rStyle w:val="VerbatimChar"/>
        </w:rPr>
        <w:t xml:space="preserve">metaanalysis/conference_submissions/iceel/scripts/run_hofstede_meta.py</w:t>
      </w:r>
      <w:r>
        <w:t xml:space="preserve">) using the canonical Hofstede Insights values. For the Asian primary-pool countries: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Japan</w:t>
      </w:r>
      <w:r>
        <w:t xml:space="preserve">: PDI = 54, IDV = 46, MAS = 95, UAI = 92, LTO = 88, IND = 42.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China</w:t>
      </w:r>
      <w:r>
        <w:t xml:space="preserve">: PDI = 80, IDV = 20, MAS = 66, UAI = 30, LTO = 87, IND = 24.</w:t>
      </w:r>
    </w:p>
    <w:p>
      <w:pPr>
        <w:pStyle w:val="FirstParagraph"/>
      </w:pPr>
      <w:r>
        <w:t xml:space="preserve">These two countries differ most sharply on Individualism (Japan +26), Power Distance (China +26), Masculinity (Japan +29), Uncertainty Avoidance (Japan +62), and Indulgence (Japan +18), with similar Long-Term Orientation.</w:t>
      </w:r>
    </w:p>
    <w:bookmarkEnd w:id="30"/>
    <w:bookmarkStart w:id="34" w:name="statistical-model"/>
    <w:p>
      <w:pPr>
        <w:pStyle w:val="Heading3"/>
      </w:pPr>
      <w:r>
        <w:t xml:space="preserve">3.3. Statistical model</w:t>
      </w:r>
    </w:p>
    <w:bookmarkStart w:id="31" w:name="asian-subset-random-effects-pool"/>
    <w:p>
      <w:pPr>
        <w:pStyle w:val="Heading4"/>
      </w:pPr>
      <w:r>
        <w:t xml:space="preserve">3.3.1. Asian-subset random-effects pool</w:t>
      </w:r>
    </w:p>
    <w:p>
      <w:pPr>
        <w:pStyle w:val="FirstParagraph"/>
      </w:pPr>
      <w:r>
        <w:t xml:space="preserve">Per trait, REML + HKSJ pooled r is computed on the k = 2 Asian primary-pool studies. Heterogeneity is reported alongside the point estimate and the back-transformed 95 % CI.</w:t>
      </w:r>
    </w:p>
    <w:bookmarkEnd w:id="31"/>
    <w:bookmarkStart w:id="32" w:name="Xe1307eeae12d754ce4920b792a9b7f68361dac5"/>
    <w:p>
      <w:pPr>
        <w:pStyle w:val="Heading4"/>
      </w:pPr>
      <w:r>
        <w:t xml:space="preserve">3.3.2. Single-dimension Hofstede meta-regression</w:t>
      </w:r>
    </w:p>
    <w:p>
      <w:pPr>
        <w:pStyle w:val="FirstParagraph"/>
      </w:pPr>
      <w:r>
        <w:t xml:space="preserve">For each (trait, dimension) pair, a 2-parameter weighted-OLS is fit: Fisher z = beta_0 + beta_1 * (dimension - mean), with weights = 1 / (v + tau-squared), tau-squared from REML estimation on the trait pool. Because k = 2, the residual degrees of freedom is k - 2 = 0; the regression is exactly determined by the two data points, slopes are computable, but no SE / t / p can be estimated. We therefore report slopes as</w:t>
      </w:r>
      <w:r>
        <w:t xml:space="preserve"> </w:t>
      </w:r>
      <w:r>
        <w:rPr>
          <w:bCs/>
          <w:b/>
        </w:rPr>
        <w:t xml:space="preserve">descriptive only</w:t>
      </w:r>
      <w:r>
        <w:t xml:space="preserve">, with the explicit caveat in the output table.</w:t>
      </w:r>
    </w:p>
    <w:bookmarkEnd w:id="32"/>
    <w:bookmarkStart w:id="33" w:name="japan-synthesis"/>
    <w:p>
      <w:pPr>
        <w:pStyle w:val="Heading4"/>
      </w:pPr>
      <w:r>
        <w:t xml:space="preserve">3.3.3. Japan synthesis</w:t>
      </w:r>
    </w:p>
    <w:p>
      <w:pPr>
        <w:pStyle w:val="FirstParagraph"/>
      </w:pPr>
      <w:r>
        <w:t xml:space="preserve">The two Japan primary-pool studies are tabulated side-by-side on N, modality, education level, instrument, and per-trait r (where available). The narrative discussion is the analytic vehicle; no formal pooling is attempted at k = 2.</w:t>
      </w:r>
    </w:p>
    <w:bookmarkEnd w:id="33"/>
    <w:bookmarkEnd w:id="34"/>
    <w:bookmarkStart w:id="35" w:name="reproducibility"/>
    <w:p>
      <w:pPr>
        <w:pStyle w:val="Heading3"/>
      </w:pPr>
      <w:r>
        <w:t xml:space="preserve">3.4. Reproducibility</w:t>
      </w:r>
    </w:p>
    <w:p>
      <w:pPr>
        <w:pStyle w:val="FirstParagraph"/>
      </w:pPr>
      <w:r>
        <w:t xml:space="preserve">All numerical results are produced by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 Pooling primitives (Fisher z, var z, REML tau-squared, HKSJ-adjusted CI) are imported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results"/>
    <w:p>
      <w:pPr>
        <w:pStyle w:val="Heading2"/>
      </w:pPr>
      <w:r>
        <w:t xml:space="preserve">4. Results</w:t>
      </w:r>
    </w:p>
    <w:bookmarkStart w:id="37" w:name="asian-subset-pooled-correlations"/>
    <w:p>
      <w:pPr>
        <w:pStyle w:val="Heading3"/>
      </w:pPr>
      <w:r>
        <w:t xml:space="preserve">4.1. Asian-subset pooled correlations</w:t>
      </w:r>
    </w:p>
    <w:p>
      <w:pPr>
        <w:pStyle w:val="FirstParagraph"/>
      </w:pPr>
      <w:r>
        <w:t xml:space="preserve">Table 1 reports the per-trait pooled correlations on the Asian primary-pool subset.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rPr>
          <w:iCs/>
          <w:i/>
        </w:rPr>
        <w:t xml:space="preserve">Asian-subset random-effects pooled correlations (REML + HKSJ; k = 2 per trait; A-28 Yu China; A-31 Rivers Japan).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[95 %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I-squared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 [-0.989, 0.994]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 [-0.039, 0.257]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-0.131 [-0.314, 0.061]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 [-0.981, 0.995]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 [0.008, 0.169]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</w:tbl>
    <w:p>
      <w:pPr>
        <w:pStyle w:val="BodyText"/>
      </w:pPr>
      <w:r>
        <w:t xml:space="preserve">The Conscientiousness, Extraversion and Neuroticism pools have I-squared = 0 (the two Asian studies happen to agree closely in z-space), while Openness and Agreeableness have I-squared = 96 % driven by sharply different point estimates between the two studies.</w:t>
      </w:r>
    </w:p>
    <w:p>
      <w:pPr>
        <w:pStyle w:val="BodyText"/>
      </w:pPr>
      <w:r>
        <w:t xml:space="preserve">These numbers replicate the parent preprint exactly (Region: Asia row in Table 3 of the preprint), confirming that the subset-pool computation is correct.</w:t>
      </w:r>
    </w:p>
    <w:bookmarkEnd w:id="37"/>
    <w:bookmarkStart w:id="38" w:name="X83cc73ce7fbeab0c47ffadccec59241be079c78"/>
    <w:p>
      <w:pPr>
        <w:pStyle w:val="Heading3"/>
      </w:pPr>
      <w:r>
        <w:t xml:space="preserve">4.2. Hofstede single-dimension meta-regression</w:t>
      </w:r>
    </w:p>
    <w:p>
      <w:pPr>
        <w:pStyle w:val="FirstParagraph"/>
      </w:pPr>
      <w:r>
        <w:t xml:space="preserve">Table 2 reports the per-trait per-dimension slope estimates. With df_resid = 0 the inferential columns (SE, t, p) are not estimable; only the slope is reported.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rPr>
          <w:iCs/>
          <w:i/>
        </w:rPr>
        <w:t xml:space="preserve">Hofstede single-dimension meta-regression slopes, descriptive only (k = 2; df_resid = 0).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(Fisher z per 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</w:tbl>
    <w:p>
      <w:pPr>
        <w:pStyle w:val="BodyText"/>
      </w:pPr>
      <w:r>
        <w:t xml:space="preserve">(Selected rows; full table in</w:t>
      </w:r>
      <w:r>
        <w:t xml:space="preserve"> </w:t>
      </w:r>
      <w:r>
        <w:rPr>
          <w:rStyle w:val="VerbatimChar"/>
        </w:rPr>
        <w:t xml:space="preserve">results/hofstede_meta_regression.csv</w:t>
      </w:r>
      <w:r>
        <w:t xml:space="preserve">. PDI vs IDV slopes are mirror images because Japan and China differ on these in opposite directions; LTO is exception-near-zero because the two countries’ LTO scores happen to be very close.)</w:t>
      </w:r>
    </w:p>
    <w:p>
      <w:pPr>
        <w:pStyle w:val="BodyText"/>
      </w:pPr>
      <w:r>
        <w:t xml:space="preserve">The pattern that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emerge is consistent with the directional theoretical expectation: higher Individualism (lower Collectivism) is associated with more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Extraversion — achievement correlations, since Extraversion-as-asset is tied to individualistic affordances. But with df_resid = 0 these slopes carry no inferential weight; they are visualisations of the two-country contrast, not statistical tests.</w:t>
      </w:r>
    </w:p>
    <w:bookmarkEnd w:id="38"/>
    <w:bookmarkStart w:id="39" w:name="japan-synthesis-1"/>
    <w:p>
      <w:pPr>
        <w:pStyle w:val="Heading3"/>
      </w:pPr>
      <w:r>
        <w:t xml:space="preserve">4.3. Japan synthesis</w:t>
      </w:r>
    </w:p>
    <w:p>
      <w:pPr>
        <w:pStyle w:val="FirstParagraph"/>
      </w:pPr>
      <w:r>
        <w:t xml:space="preserve">Table 3 compares the two Japan-based primary-pool studies side-by-side.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rPr>
          <w:iCs/>
          <w:i/>
        </w:rPr>
        <w:t xml:space="preserve">Japan-based primary-pool studies, narrative comparison.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3370"/>
        <w:gridCol w:w="33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A-25 Tokiwa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A-31 Rivers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(analytic)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K-12 (Year 3 high school)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(StudySapuri LMS)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(Moodle)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BFI-2-J (60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TIPI-J (10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completion + mastery (Spearman 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grade (Pearson 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extractable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+0.30 to +0.35 (Tokiwa Table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(Assertiveness +0.26; Sociability 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+0.27 to +0.29 (Lectures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+0.24 to +0.29 (Anxiety subscale → 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</w:tr>
    </w:tbl>
    <w:p>
      <w:pPr>
        <w:pStyle w:val="BodyText"/>
      </w:pPr>
      <w:r>
        <w:t xml:space="preserve">A-25 Tokiwa’s correlations are reported as Spearman ρ against StudySapuri usage outcomes (Tokiwa 2025, Tables 3 + body text); they did not survive the meta-analysis extraction protocol (which required Pearson r against achievement, not Spearman against engagement) but are included here as the original-publication descriptive comparator. A-31 Rivers’s r values are extractable Pearson correlations against course grade and contribute to the meta-analysis pool.</w:t>
      </w:r>
    </w:p>
    <w:p>
      <w:pPr>
        <w:pStyle w:val="BodyText"/>
      </w:pPr>
      <w:r>
        <w:t xml:space="preserve">The instrument-heterogeneity contrast is striking: A-25 uses the 60-item BFI-2-J (~12 items per trait, alphas .80 – .96); A-31 uses the 10-item TIPI-J (2 items per trait, alphas constrained by definition to .50 – .60 for most traits). The per-trait reliability difference alone could account for substantial measurement-noise heterogeneity even before any cultural-context interaction is considered.</w:t>
      </w:r>
    </w:p>
    <w:bookmarkEnd w:id="39"/>
    <w:bookmarkStart w:id="40" w:name="Xf1a03a57ab29ce52bfd4b8ef616cb113d1ab5d6"/>
    <w:p>
      <w:pPr>
        <w:pStyle w:val="Heading3"/>
      </w:pPr>
      <w:r>
        <w:t xml:space="preserve">4.4. Hofstede direction-prediction match in Japan studies</w:t>
      </w:r>
    </w:p>
    <w:p>
      <w:pPr>
        <w:pStyle w:val="FirstParagraph"/>
      </w:pPr>
      <w:r>
        <w:t xml:space="preserve">Table 4 cross-references the Japan-specific Hofstede-derived direction predictions from §2.1 (Hofstede &amp; McCrae, 2004; Hofstede, 1986) with the observed Big Five — outcome direction in the two Japan studies. Direction is coded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observed magnitude ≥ +0.05,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if ≤ −0.05,</w:t>
      </w:r>
      <w:r>
        <w:t xml:space="preserve"> </w:t>
      </w:r>
      <w:r>
        <w:rPr>
          <w:rStyle w:val="VerbatimChar"/>
        </w:rPr>
        <w:t xml:space="preserve">flat</w:t>
      </w:r>
      <w:r>
        <w:t xml:space="preserve"> </w:t>
      </w:r>
      <w:r>
        <w:t xml:space="preserve">otherwise; A-25 Tokiwa’s direction is taken from the dominant-pattern Spearman ρ against StudySapuri outcomes.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rPr>
          <w:iCs/>
          <w:i/>
        </w:rPr>
        <w:t xml:space="preserve">Hofstede-predicted vs observed direction in Japan-based studies.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"/>
        <w:gridCol w:w="2333"/>
        <w:gridCol w:w="1414"/>
        <w:gridCol w:w="1555"/>
        <w:gridCol w:w="1555"/>
        <w:gridCol w:w="5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HM04-derived prediction (Japan)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 /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A-25 Tokiwa 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A-31 Rivers 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 54 (moderate-high) → +C, r = .43 in HM04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(ρ = .30 – .35)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(r = .14)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IDV (46) → −E via r = .39; PDI → mild −E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(Assertive +; Sociable 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(r = −.17)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UAI (92) → +N r = .31; very high MAS (95) → +N r = .30 (double-supported)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(ρ = .24 – 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(r = .11)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UAI (92) → −A r = 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(ρ = .27 – 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(r = .12)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(weak)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MAS (95) → +O r = 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strongly tied to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(r = −.07)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Summary: 3 of 5 traits (C, E, N) show direction matches.</w:t>
      </w:r>
      <w:r>
        <w:t xml:space="preserve"> </w:t>
      </w:r>
      <w:r>
        <w:t xml:space="preserve">The strongest match is the</w:t>
      </w:r>
      <w:r>
        <w:t xml:space="preserve"> </w:t>
      </w:r>
      <w:r>
        <w:rPr>
          <w:bCs/>
          <w:b/>
        </w:rPr>
        <w:t xml:space="preserve">Neuroticism positive direction</w:t>
      </w:r>
      <w:r>
        <w:t xml:space="preserve">, which is opposite to the consistent Western N− finding (Poropat 2009; Mammadov 2022). It is supported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and is doubly predicted by Hofstede &amp; McCrae (2004) via UAI and MAS.</w:t>
      </w:r>
    </w:p>
    <w:p>
      <w:pPr>
        <w:pStyle w:val="BodyText"/>
      </w:pPr>
      <w:r>
        <w:t xml:space="preserve">The Agreeableness mismatch is informative: Hofstede &amp; McCrae (2004) predicts high-UAI Japan should have</w:t>
      </w:r>
      <w:r>
        <w:t xml:space="preserve"> </w:t>
      </w:r>
      <w:r>
        <w:rPr>
          <w:iCs/>
          <w:i/>
        </w:rPr>
        <w:t xml:space="preserve">low</w:t>
      </w:r>
      <w:r>
        <w:t xml:space="preserve"> </w:t>
      </w:r>
      <w:r>
        <w:t xml:space="preserve">trait A, yet both Japan online-learning studies show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A-outcome correlations (+0.12 to +0.29). This may reflect that the</w:t>
      </w:r>
      <w:r>
        <w:t xml:space="preserve"> </w:t>
      </w:r>
      <w:r>
        <w:rPr>
          <w:bCs/>
          <w:b/>
        </w:rPr>
        <w:t xml:space="preserve">online-learning context</w:t>
      </w:r>
      <w:r>
        <w:t xml:space="preserve"> </w:t>
      </w:r>
      <w:r>
        <w:t xml:space="preserve">differs from the population-level trait distribution: in collectivist online classrooms, agreeable students may engage more constructively with peers / instructors via system-mediated channels even if Japan as a population is less agreeable on average. This is a hypothesis future cross-cultural online-learning syntheses can test directly.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discussion"/>
    <w:p>
      <w:pPr>
        <w:pStyle w:val="Heading2"/>
      </w:pPr>
      <w:r>
        <w:t xml:space="preserve">5. Discussion</w:t>
      </w:r>
    </w:p>
    <w:bookmarkStart w:id="42" w:name="the-within-asia-evidence-problem"/>
    <w:p>
      <w:pPr>
        <w:pStyle w:val="Heading3"/>
      </w:pPr>
      <w:r>
        <w:t xml:space="preserve">5.1. The within-Asia evidence problem</w:t>
      </w:r>
    </w:p>
    <w:p>
      <w:pPr>
        <w:pStyle w:val="FirstParagraph"/>
      </w:pPr>
      <w:r>
        <w:t xml:space="preserve">The headline finding of this paper is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binary Asia/non-Asia contrast in the parent preprint, while statistically significant for Extraversion, is supported by a</w:t>
      </w:r>
      <w:r>
        <w:t xml:space="preserve"> </w:t>
      </w:r>
      <w:r>
        <w:rPr>
          <w:iCs/>
          <w:i/>
        </w:rPr>
        <w:t xml:space="preserve">very thin</w:t>
      </w:r>
      <w:r>
        <w:t xml:space="preserve"> </w:t>
      </w:r>
      <w:r>
        <w:t xml:space="preserve">Asian primary pool (k = 2 with extractable r). This is not a critique of the preprint — its k constraints are entirely transparent — but a reminder that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as a moderator level is doing more work than k = 2 can sustain. The interpretation</w:t>
      </w:r>
      <w:r>
        <w:t xml:space="preserve"> </w:t>
      </w:r>
      <w:r>
        <w:t xml:space="preserve">“</w:t>
      </w:r>
      <w:r>
        <w:t xml:space="preserve">Extraversion is more negative in Asia</w:t>
      </w:r>
      <w:r>
        <w:t xml:space="preserve">”</w:t>
      </w:r>
      <w:r>
        <w:t xml:space="preserve"> </w:t>
      </w:r>
      <w:r>
        <w:t xml:space="preserve">is best read as</w:t>
      </w:r>
      <w:r>
        <w:t xml:space="preserve"> </w:t>
      </w:r>
      <w:r>
        <w:t xml:space="preserve">“</w:t>
      </w:r>
      <w:r>
        <w:t xml:space="preserve">Extraversion is more negative in our two Asian sample-points than in our seven non-Asian sample-points</w:t>
      </w:r>
      <w:r>
        <w:t xml:space="preserve">”</w:t>
      </w:r>
      <w:r>
        <w:t xml:space="preserve">, and the fact that the two Asian points happen to be from different countries (China, Japan) is a confound that no current corpus can resolve.</w:t>
      </w:r>
    </w:p>
    <w:bookmarkEnd w:id="42"/>
    <w:bookmarkStart w:id="43" w:name="hofstede-slopes-as-direction-finders"/>
    <w:p>
      <w:pPr>
        <w:pStyle w:val="Heading3"/>
      </w:pPr>
      <w:r>
        <w:t xml:space="preserve">5.2. Hofstede slopes as direction-finders</w:t>
      </w:r>
    </w:p>
    <w:p>
      <w:pPr>
        <w:pStyle w:val="FirstParagraph"/>
      </w:pPr>
      <w:r>
        <w:t xml:space="preserve">Even at k = 2, the slope signs in Table 2 are interpretable as</w:t>
      </w:r>
      <w:r>
        <w:t xml:space="preserve"> </w:t>
      </w:r>
      <w:r>
        <w:rPr>
          <w:iCs/>
          <w:i/>
        </w:rPr>
        <w:t xml:space="preserve">directional indicators</w:t>
      </w:r>
      <w:r>
        <w:t xml:space="preserve"> </w:t>
      </w:r>
      <w:r>
        <w:t xml:space="preserve">rather than tests. The Extraversion slope on Individualism is small but consistent with theoretical prediction (+ slope = more positive Extraversion in more individualistic contexts; the two Asian countries differ by IDV = 26 points). The Conscientiousness slope on Long-Term Orientation is small and positive (+0.0376), which is consistent with cultural amplification of self-regulation in long-term-oriented societies — but at k = 2 this could reflect any number of alternative explanations (instrument differences, education-level differences, era differences).</w:t>
      </w:r>
    </w:p>
    <w:bookmarkEnd w:id="43"/>
    <w:bookmarkStart w:id="44" w:name="the-japan-instrument-problem"/>
    <w:p>
      <w:pPr>
        <w:pStyle w:val="Heading3"/>
      </w:pPr>
      <w:r>
        <w:t xml:space="preserve">5.3. The Japan instrument problem</w:t>
      </w:r>
    </w:p>
    <w:p>
      <w:pPr>
        <w:pStyle w:val="FirstParagraph"/>
      </w:pPr>
      <w:r>
        <w:t xml:space="preserve">The Japan synthesis’s strongest contribution is the surfacing of</w:t>
      </w:r>
      <w:r>
        <w:t xml:space="preserve"> </w:t>
      </w:r>
      <w:r>
        <w:rPr>
          <w:bCs/>
          <w:b/>
        </w:rPr>
        <w:t xml:space="preserve">instrument heterogeneity</w:t>
      </w:r>
      <w:r>
        <w:t xml:space="preserve"> </w:t>
      </w:r>
      <w:r>
        <w:t xml:space="preserve">as a major confound. Two Japan-based primary-pool studies, both asynchronous, both with ~100 — 150 students, but with personality measures differing by a factor of 6 in number of items. Future syntheses that aim to make Japan-specific claims should require either (a) standardised instrument families across studies or (b) explicit instrument-level moderator analyses. The current corpus does neither.</w:t>
      </w:r>
    </w:p>
    <w:bookmarkEnd w:id="44"/>
    <w:bookmarkStart w:id="45" w:name="the-hofstede-direction-match-in-japan"/>
    <w:p>
      <w:pPr>
        <w:pStyle w:val="Heading3"/>
      </w:pPr>
      <w:r>
        <w:t xml:space="preserve">5.4. The Hofstede direction-match in Japan</w:t>
      </w:r>
    </w:p>
    <w:p>
      <w:pPr>
        <w:pStyle w:val="FirstParagraph"/>
      </w:pPr>
      <w:r>
        <w:t xml:space="preserve">The 3-of-5 direction-match in Table 4 — particularly the</w:t>
      </w:r>
      <w:r>
        <w:t xml:space="preserve"> </w:t>
      </w:r>
      <w:r>
        <w:rPr>
          <w:bCs/>
          <w:b/>
        </w:rPr>
        <w:t xml:space="preserve">doubly-supported Neuroticism positive direction</w:t>
      </w:r>
      <w:r>
        <w:t xml:space="preserve"> </w:t>
      </w:r>
      <w:r>
        <w:t xml:space="preserve">in both Japan studies — is the strongest cultural-context finding in this paper. Three observations: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N+ direction in Japan is opposite to the dominant Western Big Five-achievement literature.</w:t>
      </w:r>
      <w:r>
        <w:t xml:space="preserve"> </w:t>
      </w:r>
      <w:r>
        <w:t xml:space="preserve">Western meta-analyses (Poropat 2009; Mammadov 2022) report N as null or weakly negative; both A-25 Tokiwa and A-31 Rivers report N positively associated with Japan online-learning outcomes, in directions consistent with Hofstede &amp; McCrae’s (2004) UAI-N r = +0.31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MAS-N r = +0.30. The double-dimensional support is consistent with Hofstede’s (1986) educational-context characterisation of strong-UAI societies as ones in which students are rewarded for accuracy and structured study — behaviours plausibly fuelled by trait-level anxiety / sensitivity.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Agreeableness mismatch is informative</w:t>
      </w:r>
      <w:r>
        <w:t xml:space="preserve">, not refuting. Hofstede &amp; McCrae (2004) predict A− for high-UAI Japan at the population trait-level; both Japan studies report A+ at the</w:t>
      </w:r>
      <w:r>
        <w:t xml:space="preserve"> </w:t>
      </w:r>
      <w:r>
        <w:rPr>
          <w:iCs/>
          <w:i/>
        </w:rPr>
        <w:t xml:space="preserve">online-learning behaviour</w:t>
      </w:r>
      <w:r>
        <w:t xml:space="preserve"> </w:t>
      </w:r>
      <w:r>
        <w:t xml:space="preserve">level. The two are not strictly comparable — population trait scores need not equal individual-level personality–achievement correlations within a particular activity domain. The discrepancy is a hypothesis-generator: agreeable students may engage more constructively with online-learning systems even if Japan as a population has lower aggregate trait 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Conscientiousness positive direction is uncontroversial.</w:t>
      </w:r>
      <w:r>
        <w:t xml:space="preserve"> </w:t>
      </w:r>
      <w:r>
        <w:t xml:space="preserve">It matches Hofstede &amp; McCrae (2004) PDI-C r = .43, the parent preprint’s overall Asian-subset C r = +0.111, and Mammadov (2022)</w:t>
      </w:r>
      <w:r>
        <w:t xml:space="preserve">‘</w:t>
      </w:r>
      <w:r>
        <w:t xml:space="preserve">s Asian-amplification finding. Future Japan-specific syntheses should treat C+ as a default expectation against which other traits</w:t>
      </w:r>
      <w:r>
        <w:t xml:space="preserve">’</w:t>
      </w:r>
      <w:r>
        <w:t xml:space="preserve"> </w:t>
      </w:r>
      <w:r>
        <w:t xml:space="preserve">deviations are interpreted.</w:t>
      </w:r>
    </w:p>
    <w:bookmarkEnd w:id="45"/>
    <w:bookmarkStart w:id="46" w:name="self-plagiarism-firewall"/>
    <w:p>
      <w:pPr>
        <w:pStyle w:val="Heading3"/>
      </w:pPr>
      <w:r>
        <w:t xml:space="preserve">5.5. Self-plagiarism firewall</w:t>
      </w:r>
    </w:p>
    <w:p>
      <w:pPr>
        <w:pStyle w:val="FirstParagraph"/>
      </w:pPr>
      <w:r>
        <w:t xml:space="preserve">The within-Asia decomposition and the Hofstede moderator analysis are both absent from the parent preprint, which only reports the binary Asia / non-Asia contrast. The ICEEL paper’s contribution is therefore distinct from the preprint at the analytic level; disclosure follows</w:t>
      </w:r>
      <w:r>
        <w:t xml:space="preserve"> </w:t>
      </w:r>
      <w:r>
        <w:rPr>
          <w:rStyle w:val="VerbatimChar"/>
        </w:rPr>
        <w:t xml:space="preserve">metaanalysis/conference_submissions/templates/preprint_disclosure_template.md</w:t>
      </w:r>
      <w:r>
        <w:t xml:space="preserve"> </w:t>
      </w:r>
      <w:r>
        <w:t xml:space="preserve">ICEEL block, which states explicitly that the binary contrast is in the preprint but the within-Asia Hofstede direction-match analysis (Table 4) is novel to this submission.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dominant limitation is k. With k = 2 Asian primary-pool studies the Hofstede meta-regression has zero residual degrees of freedom; slopes are descriptive only. This is acknowledged transparently throughout the paper; we treat the regression as a methodological exercise rather than a confirmatory test.</w:t>
      </w:r>
    </w:p>
    <w:p>
      <w:pPr>
        <w:pStyle w:val="BodyText"/>
      </w:pPr>
      <w:r>
        <w:t xml:space="preserve">Hofstede’s framework is itself critiqued (Minkov &amp; Hofstede, 2014; McSweeney, 2002) for ecological-fallacy risk and for the IBM-employee provenance of the original scores. We use Hofstede Insights (2024) values without modification but acknowledge that Minkov-revised dimensions might give different slopes.</w:t>
      </w:r>
    </w:p>
    <w:p>
      <w:pPr>
        <w:pStyle w:val="BodyText"/>
      </w:pPr>
      <w:r>
        <w:t xml:space="preserve">The Japan synthesis is constrained to k = 2; pooling within Japan is not justifiable on this basis. The narrative comparison surfaces methodological issues (instrument heterogeneity) rather than confirmatory effects.</w:t>
      </w:r>
    </w:p>
    <w:p>
      <w:pPr>
        <w:pStyle w:val="BodyText"/>
      </w:pPr>
      <w:r>
        <w:t xml:space="preserve">Single coder, single author, no second-coder audit of country-to-Hofstede-dimension assignment (mitigated by sourcing scores from the canonical Hofstede Insights table rather than hand-coding).</w:t>
      </w:r>
    </w:p>
    <w:p>
      <w:r>
        <w:pict>
          <v:rect style="width:0;height:1.5pt" o:hralign="center" o:hrstd="t" o:hr="t"/>
        </w:pict>
      </w:r>
    </w:p>
    <w:bookmarkEnd w:id="48"/>
    <w:bookmarkStart w:id="49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within-Asia decomposition of personality — academic-achievement effects in online learning is, with the present evidence base, a methodological exercise rather than a confirmatory cultural-dimensions test. The contribution of this paper is to (a) document that the parent preprint’s binary Asia / non-Asia contrast hides within-Asia structure that the field’s current corpus cannot resolve, and (b) flag instrument heterogeneity (60-item vs 10-item Big Five inventories) as a confound in the Japan-specific evidence that no future synthesis can ignore.</w:t>
      </w:r>
    </w:p>
    <w:p>
      <w:pPr>
        <w:pStyle w:val="BodyText"/>
      </w:pPr>
      <w:r>
        <w:t xml:space="preserve">For the ICEEL audience the practical implications are two. First, Japanese ed-tech designers and educational researchers should treat Big Five-based personalisation claims with caution: there is no consistent evidence base in Japan-specific online-learning contexts for any trait other than Conscientiousness. Second, the field needs a coordinated push to (i) include Big Five trait-by-achievement reporting as a standard feature of Japanese online-learning primary studies, (ii) standardise on a single Big Five instrument family within country, and (iii) report sufficient cultural-context metadata for future Hofstede-style moderator analyses to have df &gt; 0.</w:t>
      </w:r>
    </w:p>
    <w:p>
      <w:pPr>
        <w:pStyle w:val="BodyText"/>
      </w:pPr>
      <w:r>
        <w:t xml:space="preserve">Future work: extend the Asian primary-pool corpus to k &gt; 4 by targeted recruitment of Korean and Taiwanese samples; replicate the parent preprint’s Region moderator with a refined East-Asia bin; and replace the 6-D Hofstede framework with the Minkov-revised dimensions to test sensitivity to the underlying cultural-mapping choice.</w:t>
      </w:r>
    </w:p>
    <w:p>
      <w:r>
        <w:pict>
          <v:rect style="width:0;height:1.5pt" o:hralign="center" o:hrstd="t" o:hr="t"/>
        </w:pict>
      </w:r>
    </w:p>
    <w:bookmarkEnd w:id="49"/>
    <w:bookmarkStart w:id="50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paper was prepared by the sole author. A preliminary version of the underlying systematic review and meta-analysis is publicly available on Research Square (DOI 10.21203/rs.3.rs-9513298/v1, posted 27 April 2026). The present ICEEL submission decomposes the binary Asia / non-Asia region moderator from the preprint into a within-Asia Hofstede-moderated analysis and a Japan focus — neither of these analyses appears in the preprint. ORCID: 0009-0009-7124-6669.</w:t>
      </w:r>
    </w:p>
    <w:p>
      <w:r>
        <w:pict>
          <v:rect style="width:0;height:1.5pt" o:hralign="center" o:hrstd="t" o:hr="t"/>
        </w:pict>
      </w:r>
    </w:p>
    <w:bookmarkEnd w:id="50"/>
    <w:bookmarkStart w:id="5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All references below are taken from</w:t>
      </w:r>
      <w:r>
        <w:t xml:space="preserve"> </w:t>
      </w:r>
      <w:r>
        <w:rPr>
          <w:rStyle w:val="VerbatimChar"/>
        </w:rPr>
        <w:t xml:space="preserve">metaanalysis/reference_index.md</w:t>
      </w:r>
      <w:r>
        <w:t xml:space="preserve"> </w:t>
      </w:r>
      <w:r>
        <w:t xml:space="preserve">(PDF-verified ✅), with the exception of the Hofstede Insights web data source, which is a website rather than a citable PDF.</w:t>
      </w:r>
    </w:p>
    <w:bookmarkStart w:id="51" w:name="primary-studies-cited"/>
    <w:p>
      <w:pPr>
        <w:pStyle w:val="Heading3"/>
      </w:pPr>
      <w:r>
        <w:t xml:space="preserve">Primary studies cited</w:t>
      </w:r>
    </w:p>
    <w:p>
      <w:pPr>
        <w:numPr>
          <w:ilvl w:val="0"/>
          <w:numId w:val="1005"/>
        </w:numPr>
        <w:pStyle w:val="Compact"/>
      </w:pPr>
      <w:r>
        <w:t xml:space="preserve">D. J. Rivers,</w:t>
      </w:r>
      <w:r>
        <w:t xml:space="preserve"> </w:t>
      </w:r>
      <w:r>
        <w:t xml:space="preserve">“</w:t>
      </w:r>
      <w:r>
        <w:t xml:space="preserve">The role of personality traits and online academic self-efficacy in acceptance, actual use and achievement in Moodle,</w:t>
      </w:r>
      <w:r>
        <w:t xml:space="preserve">”</w:t>
      </w:r>
      <w:r>
        <w:t xml:space="preserve"> </w:t>
      </w:r>
      <w:r>
        <w:rPr>
          <w:iCs/>
          <w:i/>
        </w:rPr>
        <w:t xml:space="preserve">Education and Information Technologies</w:t>
      </w:r>
      <w:r>
        <w:t xml:space="preserve">, vol. 26, no. 4, pp. 4353–4378, 2021. https://doi.org/10.1007/s10639-021-10478-3</w:t>
      </w:r>
    </w:p>
    <w:p>
      <w:pPr>
        <w:numPr>
          <w:ilvl w:val="0"/>
          <w:numId w:val="1005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Who excels in online learning in Japan?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16, Article 1420996, 2025. https://doi.org/10.3389/fpsyg.2025.1420996</w:t>
      </w:r>
    </w:p>
    <w:p>
      <w:pPr>
        <w:numPr>
          <w:ilvl w:val="0"/>
          <w:numId w:val="1005"/>
        </w:numPr>
        <w:pStyle w:val="Compact"/>
      </w:pPr>
      <w:r>
        <w:t xml:space="preserve">P. Wang, F. Wang, and Z. Li,</w:t>
      </w:r>
      <w:r>
        <w:t xml:space="preserve"> </w:t>
      </w:r>
      <w:r>
        <w:t xml:space="preserve">“</w:t>
      </w:r>
      <w:r>
        <w:t xml:space="preserve">Exploring the ecosystem of K-12 online learning: An empirical study of impact mechanisms in the post-pandemic era,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14, 1241477, 2023. https://doi.org/10.3389/fpsyg.2023.1241477</w:t>
      </w:r>
    </w:p>
    <w:p>
      <w:pPr>
        <w:numPr>
          <w:ilvl w:val="0"/>
          <w:numId w:val="1005"/>
        </w:numPr>
        <w:pStyle w:val="Compact"/>
      </w:pPr>
      <w:r>
        <w:t xml:space="preserve">Z. Yu,</w:t>
      </w:r>
      <w:r>
        <w:t xml:space="preserve"> </w:t>
      </w:r>
      <w:r>
        <w:t xml:space="preserve">“</w:t>
      </w:r>
      <w:r>
        <w:t xml:space="preserve">The effects of gender, educational level, and personality on online learning outcomes during the COVID-19 pandemic,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Educational Technology in Higher Education</w:t>
      </w:r>
      <w:r>
        <w:t xml:space="preserve">, vol. 18, no. 1, Article 14, 2021. https://doi.org/10.1186/s41239-021-00252-3</w:t>
      </w:r>
    </w:p>
    <w:bookmarkEnd w:id="51"/>
    <w:bookmarkStart w:id="52" w:name="benchmark-meta-analyses-cited"/>
    <w:p>
      <w:pPr>
        <w:pStyle w:val="Heading3"/>
      </w:pPr>
      <w:r>
        <w:t xml:space="preserve">Benchmark meta-analyses cited</w:t>
      </w:r>
    </w:p>
    <w:p>
      <w:pPr>
        <w:numPr>
          <w:ilvl w:val="0"/>
          <w:numId w:val="1006"/>
        </w:numPr>
        <w:pStyle w:val="Compact"/>
      </w:pPr>
      <w:r>
        <w:t xml:space="preserve">S. Chen, A. C. K. Cheung, and Z. Zeng,</w:t>
      </w:r>
      <w:r>
        <w:t xml:space="preserve"> </w:t>
      </w:r>
      <w:r>
        <w:t xml:space="preserve">“</w:t>
      </w:r>
      <w:r>
        <w:t xml:space="preserve">Big Five personality traits and university students’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240, 113163, 2025. https://doi.org/10.1016/j.paid.2025.113163</w:t>
      </w:r>
    </w:p>
    <w:p>
      <w:pPr>
        <w:numPr>
          <w:ilvl w:val="0"/>
          <w:numId w:val="1006"/>
        </w:numPr>
        <w:pStyle w:val="Compact"/>
      </w:pPr>
      <w:r>
        <w:t xml:space="preserve">S. Mammadov,</w:t>
      </w:r>
      <w:r>
        <w:t xml:space="preserve"> </w:t>
      </w:r>
      <w:r>
        <w:t xml:space="preserve">“</w:t>
      </w:r>
      <w:r>
        <w:t xml:space="preserve">Big Five personality traits and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</w:t>
      </w:r>
      <w:r>
        <w:t xml:space="preserve">, vol. 90, no. 2, pp. 222–255, 2022. https://doi.org/10.1111/jopy.12663</w:t>
      </w:r>
    </w:p>
    <w:bookmarkEnd w:id="52"/>
    <w:bookmarkStart w:id="53" w:name="Xaac596f6a4a5ff714fe3beb93a6b70517642967"/>
    <w:p>
      <w:pPr>
        <w:pStyle w:val="Heading3"/>
      </w:pPr>
      <w:r>
        <w:t xml:space="preserve">Hofstede framework and Big Five × culture linkages</w:t>
      </w:r>
    </w:p>
    <w:p>
      <w:pPr>
        <w:numPr>
          <w:ilvl w:val="0"/>
          <w:numId w:val="1007"/>
        </w:numPr>
        <w:pStyle w:val="Compact"/>
      </w:pPr>
      <w:r>
        <w:t xml:space="preserve">G. Hofstede,</w:t>
      </w:r>
      <w:r>
        <w:t xml:space="preserve"> </w:t>
      </w:r>
      <w:r>
        <w:rPr>
          <w:iCs/>
          <w:i/>
        </w:rPr>
        <w:t xml:space="preserve">Culture’s Consequences: Comparing Values, Behaviors, Institutions and Organizations across Nations</w:t>
      </w:r>
      <w:r>
        <w:t xml:space="preserve">, 2nd ed., Sage Publications, 2001.</w:t>
      </w:r>
    </w:p>
    <w:p>
      <w:pPr>
        <w:numPr>
          <w:ilvl w:val="0"/>
          <w:numId w:val="1007"/>
        </w:numPr>
        <w:pStyle w:val="Compact"/>
      </w:pPr>
      <w:r>
        <w:t xml:space="preserve">G. Hofstede,</w:t>
      </w:r>
      <w:r>
        <w:t xml:space="preserve"> </w:t>
      </w:r>
      <w:r>
        <w:t xml:space="preserve">“</w:t>
      </w:r>
      <w:r>
        <w:t xml:space="preserve">Cultural differences in teaching and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Intercultural Relations</w:t>
      </w:r>
      <w:r>
        <w:t xml:space="preserve">, vol. 10, no. 3, pp. 301–320, 1986. https://doi.org/10.1016/0147-1767(86)90015-5</w:t>
      </w:r>
    </w:p>
    <w:p>
      <w:pPr>
        <w:numPr>
          <w:ilvl w:val="0"/>
          <w:numId w:val="1007"/>
        </w:numPr>
        <w:pStyle w:val="Compact"/>
      </w:pPr>
      <w:r>
        <w:t xml:space="preserve">G. Hofstede and R. R. McCrae,</w:t>
      </w:r>
      <w:r>
        <w:t xml:space="preserve"> </w:t>
      </w:r>
      <w:r>
        <w:t xml:space="preserve">“</w:t>
      </w:r>
      <w:r>
        <w:t xml:space="preserve">Personality and culture revisited: Linking traits and dimensions of culture,</w:t>
      </w:r>
      <w:r>
        <w:t xml:space="preserve">”</w:t>
      </w:r>
      <w:r>
        <w:t xml:space="preserve"> </w:t>
      </w:r>
      <w:r>
        <w:rPr>
          <w:iCs/>
          <w:i/>
        </w:rPr>
        <w:t xml:space="preserve">Cross-Cultural Research</w:t>
      </w:r>
      <w:r>
        <w:t xml:space="preserve">, vol. 38, no. 1, pp. 52–88, 2004. https://doi.org/10.1177/1069397103259443</w:t>
      </w:r>
    </w:p>
    <w:p>
      <w:pPr>
        <w:numPr>
          <w:ilvl w:val="0"/>
          <w:numId w:val="1007"/>
        </w:numPr>
        <w:pStyle w:val="Compact"/>
      </w:pPr>
      <w:r>
        <w:t xml:space="preserve">Hofstede Insights,</w:t>
      </w:r>
      <w:r>
        <w:t xml:space="preserve"> </w:t>
      </w:r>
      <w:r>
        <w:t xml:space="preserve">“</w:t>
      </w:r>
      <w:r>
        <w:t xml:space="preserve">Country comparison tool,</w:t>
      </w:r>
      <w:r>
        <w:t xml:space="preserve">”</w:t>
      </w:r>
      <w:r>
        <w:t xml:space="preserve"> </w:t>
      </w:r>
      <w:r>
        <w:t xml:space="preserve">https://www.hofstede-insights.com/, accessed 2024 [website data source].</w:t>
      </w:r>
    </w:p>
    <w:p>
      <w:pPr>
        <w:numPr>
          <w:ilvl w:val="0"/>
          <w:numId w:val="1007"/>
        </w:numPr>
        <w:pStyle w:val="Compact"/>
      </w:pPr>
      <w:r>
        <w:t xml:space="preserve">J. Allik and R. R. McCrae,</w:t>
      </w:r>
      <w:r>
        <w:t xml:space="preserve"> </w:t>
      </w:r>
      <w:r>
        <w:t xml:space="preserve">“</w:t>
      </w:r>
      <w:r>
        <w:t xml:space="preserve">Toward a geography of personality traits: Patterns of profiles across 36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35, no. 1, pp. 13–28, 2004. https://doi.org/10.1177/0022022103260382</w:t>
      </w:r>
    </w:p>
    <w:p>
      <w:pPr>
        <w:numPr>
          <w:ilvl w:val="0"/>
          <w:numId w:val="1007"/>
        </w:numPr>
        <w:pStyle w:val="Compact"/>
      </w:pPr>
      <w:r>
        <w:t xml:space="preserve">R. R. McCrae and A. Terracciano,</w:t>
      </w:r>
      <w:r>
        <w:t xml:space="preserve"> </w:t>
      </w:r>
      <w:r>
        <w:t xml:space="preserve">“</w:t>
      </w:r>
      <w:r>
        <w:t xml:space="preserve">Universal features of personality traits from the observer’s perspective: Data from 50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 and Social Psychology</w:t>
      </w:r>
      <w:r>
        <w:t xml:space="preserve">, vol. 88, no. 3, pp. 547–561, 2005. https://doi.org/10.1037/0022-3514.88.3.547</w:t>
      </w:r>
    </w:p>
    <w:p>
      <w:pPr>
        <w:numPr>
          <w:ilvl w:val="0"/>
          <w:numId w:val="1007"/>
        </w:numPr>
        <w:pStyle w:val="Compact"/>
      </w:pPr>
      <w:r>
        <w:t xml:space="preserve">D. P. Schmitt, J. Allik, R. R. McCrae, and V. Benet-Martínez,</w:t>
      </w:r>
      <w:r>
        <w:t xml:space="preserve"> </w:t>
      </w:r>
      <w:r>
        <w:t xml:space="preserve">“</w:t>
      </w:r>
      <w:r>
        <w:t xml:space="preserve">The geographic distribution of Big Five personality traits: Patterns and profiles of human self-description across 56 nations,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38, no. 2, pp. 173–212, 2007. https://doi.org/10.1177/0022022106297299</w:t>
      </w:r>
    </w:p>
    <w:p>
      <w:pPr>
        <w:numPr>
          <w:ilvl w:val="0"/>
          <w:numId w:val="1007"/>
        </w:numPr>
        <w:pStyle w:val="Compact"/>
      </w:pPr>
      <w:r>
        <w:t xml:space="preserve">L. A. Migliore,</w:t>
      </w:r>
      <w:r>
        <w:t xml:space="preserve"> </w:t>
      </w:r>
      <w:r>
        <w:t xml:space="preserve">“</w:t>
      </w:r>
      <w:r>
        <w:t xml:space="preserve">Relation between big five personality traits and Hofstede’s cultural dimensions: Samples from the USA and India,</w:t>
      </w:r>
      <w:r>
        <w:t xml:space="preserve">”</w:t>
      </w:r>
      <w:r>
        <w:t xml:space="preserve"> </w:t>
      </w:r>
      <w:r>
        <w:rPr>
          <w:iCs/>
          <w:i/>
        </w:rPr>
        <w:t xml:space="preserve">Cross Cultural Management: An International Journal</w:t>
      </w:r>
      <w:r>
        <w:t xml:space="preserve">, vol. 18, no. 1, pp. 38–54, 2011. https://doi.org/10.1108/13527601111104287</w:t>
      </w:r>
    </w:p>
    <w:p>
      <w:pPr>
        <w:numPr>
          <w:ilvl w:val="0"/>
          <w:numId w:val="1007"/>
        </w:numPr>
        <w:pStyle w:val="Compact"/>
      </w:pPr>
      <w:r>
        <w:t xml:space="preserve">F. M. Cheung, S. F. Cheung, S. Wada, and J. Zhang,</w:t>
      </w:r>
      <w:r>
        <w:t xml:space="preserve"> </w:t>
      </w:r>
      <w:r>
        <w:t xml:space="preserve">“</w:t>
      </w:r>
      <w:r>
        <w:t xml:space="preserve">Indigenous measures of personality assessment in Asian countries: A review,</w:t>
      </w:r>
      <w:r>
        <w:t xml:space="preserve">”</w:t>
      </w:r>
      <w:r>
        <w:t xml:space="preserve"> </w:t>
      </w:r>
      <w:r>
        <w:rPr>
          <w:iCs/>
          <w:i/>
        </w:rPr>
        <w:t xml:space="preserve">Psychological Assessment</w:t>
      </w:r>
      <w:r>
        <w:t xml:space="preserve">, vol. 15, no. 3, pp. 280–289, 2003. https://doi.org/10.1037/1040-3590.15.3.280</w:t>
      </w:r>
    </w:p>
    <w:p>
      <w:pPr>
        <w:numPr>
          <w:ilvl w:val="0"/>
          <w:numId w:val="1007"/>
        </w:numPr>
        <w:pStyle w:val="Compact"/>
      </w:pPr>
      <w:r>
        <w:t xml:space="preserve">R. Lynn and T. Martin,</w:t>
      </w:r>
      <w:r>
        <w:t xml:space="preserve"> </w:t>
      </w:r>
      <w:r>
        <w:t xml:space="preserve">“</w:t>
      </w:r>
      <w:r>
        <w:t xml:space="preserve">National differences for thirty-seven nations in extraversion, neuroticism, psychoticism and economic, demographic and other correlates,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19, no. 3, pp. 403–406, 1995. https://doi.org/10.1016/0191-8869(95)00054-A</w:t>
      </w:r>
    </w:p>
    <w:p>
      <w:pPr>
        <w:numPr>
          <w:ilvl w:val="0"/>
          <w:numId w:val="1007"/>
        </w:numPr>
        <w:pStyle w:val="Compact"/>
      </w:pPr>
      <w:r>
        <w:t xml:space="preserve">B. McSweeney,</w:t>
      </w:r>
      <w:r>
        <w:t xml:space="preserve"> </w:t>
      </w:r>
      <w:r>
        <w:t xml:space="preserve">“</w:t>
      </w:r>
      <w:r>
        <w:t xml:space="preserve">Hofstede’s model of national cultural differences and their consequences: A triumph of faith — a failure of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Human Relations</w:t>
      </w:r>
      <w:r>
        <w:t xml:space="preserve">, vol. 55, no. 1, pp. 89–118, 2002. https://doi.org/10.1177/0018726702551004</w:t>
      </w:r>
    </w:p>
    <w:p>
      <w:pPr>
        <w:numPr>
          <w:ilvl w:val="0"/>
          <w:numId w:val="1007"/>
        </w:numPr>
        <w:pStyle w:val="Compact"/>
      </w:pPr>
      <w:r>
        <w:t xml:space="preserve">M. Minkov and G. Hofstede,</w:t>
      </w:r>
      <w:r>
        <w:t xml:space="preserve"> </w:t>
      </w:r>
      <w:r>
        <w:t xml:space="preserve">“</w:t>
      </w:r>
      <w:r>
        <w:t xml:space="preserve">A replication of Hofstede’s uncertainty avoidance dimension across nationally representative samples from Europe,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Cross-Cultural Management</w:t>
      </w:r>
      <w:r>
        <w:t xml:space="preserve">, vol. 14, no. 1, pp. 7–22, 2014. https://doi.org/10.1177/1470595814521600</w:t>
      </w:r>
    </w:p>
    <w:bookmarkEnd w:id="53"/>
    <w:bookmarkStart w:id="54" w:name="authors-own-preprint"/>
    <w:p>
      <w:pPr>
        <w:pStyle w:val="Heading3"/>
      </w:pPr>
      <w:r>
        <w:t xml:space="preserve">Author’s own preprint</w:t>
      </w:r>
    </w:p>
    <w:p>
      <w:pPr>
        <w:numPr>
          <w:ilvl w:val="0"/>
          <w:numId w:val="1008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Big Five personality traits and academic achievement in online learning environments: A systematic review and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Research Square</w:t>
      </w:r>
      <w:r>
        <w:t xml:space="preserve"> </w:t>
      </w:r>
      <w:r>
        <w:t xml:space="preserve">preprint, https://doi.org/10.21203/rs.3.rs-9513298/v1, 2026.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appendix-a.-reproducibility"/>
    <w:p>
      <w:pPr>
        <w:pStyle w:val="Heading2"/>
      </w:pPr>
      <w:r>
        <w:t xml:space="preserve">Appendix A. Reproducibility</w:t>
      </w:r>
    </w:p>
    <w:p>
      <w:pPr>
        <w:numPr>
          <w:ilvl w:val="0"/>
          <w:numId w:val="1009"/>
        </w:numPr>
        <w:pStyle w:val="Compact"/>
      </w:pPr>
      <w:r>
        <w:t xml:space="preserve">Source dataset: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Hofstede table: encoded inline in the script.</w:t>
      </w:r>
    </w:p>
    <w:p>
      <w:pPr>
        <w:numPr>
          <w:ilvl w:val="0"/>
          <w:numId w:val="1009"/>
        </w:numPr>
        <w:pStyle w:val="Compact"/>
      </w:pPr>
      <w:r>
        <w:t xml:space="preserve">Analysis script: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Result CSVs / MD:</w:t>
      </w:r>
      <w:r>
        <w:t xml:space="preserve"> </w:t>
      </w:r>
      <w:r>
        <w:rPr>
          <w:rStyle w:val="VerbatimChar"/>
        </w:rPr>
        <w:t xml:space="preserve">metaanalysis/conference_submissions/iceel/results/{asia_subset_pools, hofstede_meta_regression, japan_synthesis, summary}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Pooling primitives re-used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manuscript draft. Approximately 2,800 words.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2026-05-10T09:36:10Z</dcterms:created>
  <dcterms:modified xsi:type="dcterms:W3CDTF">2026-05-10T09:36:10Z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