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Personality Interventions Don't Work; Structural Ones Do: Counterfactual Evidence from a HEXACO 7-Typology Workplace Harassment Microsimulation in Japan</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i/>
          <w:sz w:val="24"/>
        </w:rPr>
        <w:t>SUNBLAZE Co., Ltd., Tokyo, Japan</w:t>
      </w:r>
    </w:p>
    <w:p>
      <w:pPr>
        <w:spacing w:line="480" w:lineRule="auto" w:before="0" w:after="0"/>
        <w:jc w:val="center"/>
      </w:pPr>
      <w:r>
        <w:rPr>
          <w:rFonts w:ascii="Times New Roman" w:hAnsi="Times New Roman" w:eastAsia="Times New Roman"/>
          <w:sz w:val="24"/>
        </w:rPr>
        <w:t>ORCID: 0009-0009-7124-6669</w:t>
      </w: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ind w:firstLine="720"/>
      </w:pPr>
      <w:r>
        <w:rPr>
          <w:rFonts w:ascii="Times New Roman" w:hAnsi="Times New Roman" w:eastAsia="Times New Roman"/>
          <w:sz w:val="24"/>
        </w:rPr>
        <w:t>Pre-registration: OSF DOI 10.17605/OSF.IO/3Y54U (https://osf.io/3y54u). Code, data, and intermediate artifacts are publicly archived under MIT license at https://github.com/etoki/paper.</w:t>
      </w:r>
    </w:p>
    <w:p>
      <w:pPr>
        <w:spacing w:line="480" w:lineRule="auto" w:before="0" w:after="0"/>
      </w:pPr>
    </w:p>
    <w:p>
      <w:r>
        <w:br w:type="page"/>
      </w:r>
    </w:p>
    <w:p>
      <w:pPr>
        <w:spacing w:line="480" w:lineRule="auto" w:before="0" w:after="0"/>
        <w:jc w:val="center"/>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Funding</w:t>
      </w:r>
    </w:p>
    <w:p>
      <w:pPr>
        <w:spacing w:line="480" w:lineRule="auto" w:before="0" w:after="0"/>
        <w:ind w:firstLine="720"/>
      </w:pPr>
      <w:r>
        <w:rPr>
          <w:rFonts w:ascii="Times New Roman" w:hAnsi="Times New Roman" w:eastAsia="Times New Roman"/>
          <w:sz w:val="24"/>
        </w:rPr>
        <w:t>This research was self-funded by SUNBLAZE Co., Ltd. No external funding was received.</w:t>
      </w:r>
    </w:p>
    <w:p>
      <w:pPr>
        <w:spacing w:line="480" w:lineRule="auto" w:before="0" w:after="0"/>
      </w:pPr>
      <w:r>
        <w:rPr>
          <w:rFonts w:ascii="Times New Roman" w:hAnsi="Times New Roman" w:eastAsia="Times New Roman"/>
          <w:b/>
          <w:sz w:val="24"/>
        </w:rPr>
        <w:t>Conflicts of interest</w:t>
      </w:r>
    </w:p>
    <w:p>
      <w:pPr>
        <w:spacing w:line="480" w:lineRule="auto" w:before="0" w:after="0"/>
        <w:ind w:firstLine="720"/>
      </w:pPr>
      <w:r>
        <w:rPr>
          <w:rFonts w:ascii="Times New Roman" w:hAnsi="Times New Roman" w:eastAsia="Times New Roman"/>
          <w:sz w:val="24"/>
        </w:rPr>
        <w:t>The author declares no competing interests.</w:t>
      </w:r>
    </w:p>
    <w:p>
      <w:pPr>
        <w:spacing w:line="480" w:lineRule="auto" w:before="0" w:after="0"/>
      </w:pPr>
      <w:r>
        <w:rPr>
          <w:rFonts w:ascii="Times New Roman" w:hAnsi="Times New Roman" w:eastAsia="Times New Roman"/>
          <w:b/>
          <w:sz w:val="24"/>
        </w:rPr>
        <w:t>Author contributions</w:t>
      </w:r>
    </w:p>
    <w:p>
      <w:pPr>
        <w:spacing w:line="480" w:lineRule="auto" w:before="0" w:after="0"/>
        <w:ind w:firstLine="720"/>
      </w:pPr>
      <w:r>
        <w:rPr>
          <w:rFonts w:ascii="Times New Roman" w:hAnsi="Times New Roman" w:eastAsia="Times New Roman"/>
          <w:sz w:val="24"/>
        </w:rPr>
        <w:t>The author (sole-authored) was responsible for conceptualization, methodology, software, formal analysis, investigation, data curation, writing — original draft, and writing — review &amp; editing.</w:t>
      </w:r>
    </w:p>
    <w:p>
      <w:pPr>
        <w:spacing w:line="480" w:lineRule="auto" w:before="0" w:after="0"/>
      </w:pPr>
      <w:r>
        <w:rPr>
          <w:rFonts w:ascii="Times New Roman" w:hAnsi="Times New Roman" w:eastAsia="Times New Roman"/>
          <w:b/>
          <w:sz w:val="24"/>
        </w:rPr>
        <w:t>Data and code availability</w:t>
      </w:r>
    </w:p>
    <w:p>
      <w:pPr>
        <w:spacing w:line="480" w:lineRule="auto" w:before="0" w:after="0"/>
        <w:ind w:firstLine="720"/>
      </w:pPr>
      <w:r>
        <w:rPr>
          <w:rFonts w:ascii="Times New Roman" w:hAnsi="Times New Roman" w:eastAsia="Times New Roman"/>
          <w:sz w:val="24"/>
        </w:rPr>
        <w:t>All code, data, and intermediate artifacts are publicly archived under MIT license at https://github.com/etoki/paper (directory: simulation/) and at OSF DOI 10.17605/OSF.IO/3Y54U (https://osf.io/3y54u). Reproducibility is verified via SHA-256 hash comparison against the v2.0 OSF registration.</w:t>
      </w:r>
    </w:p>
    <w:p>
      <w:pPr>
        <w:spacing w:line="480" w:lineRule="auto" w:before="0" w:after="0"/>
      </w:pPr>
      <w:r>
        <w:rPr>
          <w:rFonts w:ascii="Times New Roman" w:hAnsi="Times New Roman" w:eastAsia="Times New Roman"/>
          <w:b/>
          <w:sz w:val="24"/>
        </w:rPr>
        <w:t>Ethics statement</w:t>
      </w:r>
    </w:p>
    <w:p>
      <w:pPr>
        <w:spacing w:line="480" w:lineRule="auto" w:before="0" w:after="0"/>
        <w:ind w:firstLine="720"/>
      </w:pPr>
      <w:r>
        <w:rPr>
          <w:rFonts w:ascii="Times New Roman" w:hAnsi="Times New Roman" w:eastAsia="Times New Roman"/>
          <w:sz w:val="24"/>
        </w:rPr>
        <w:t>The N=354 individual-level harassment data analyzed in this study were collected under an IRB-approved protocol (Tokiwa, 2025, harassment preprint). Analysis of de-identified data does not require additional ethics review under SUNBLAZE Co., Ltd. policy.</w:t>
      </w:r>
    </w:p>
    <w:p>
      <w:r>
        <w:br w:type="page"/>
      </w:r>
    </w:p>
    <w:p>
      <w:pPr>
        <w:spacing w:line="480" w:lineRule="auto" w:before="0" w:after="0"/>
        <w:jc w:val="left"/>
      </w:pPr>
      <w:r>
        <w:rPr>
          <w:rFonts w:ascii="Times New Roman" w:hAnsi="Times New Roman" w:eastAsia="Times New Roman"/>
          <w:b/>
          <w:sz w:val="24"/>
        </w:rPr>
        <w:t>Abstract (≈ 250 words)</w:t>
      </w:r>
    </w:p>
    <w:p>
      <w:pPr>
        <w:spacing w:line="480" w:lineRule="auto" w:before="0" w:after="0"/>
        <w:ind w:firstLine="720"/>
      </w:pPr>
      <w:r>
        <w:rPr>
          <w:rFonts w:ascii="Times New Roman" w:hAnsi="Times New Roman" w:eastAsia="Times New Roman"/>
          <w:sz w:val="24"/>
        </w:rPr>
        <w:t>Workplace harassment imposes substantial public-health and economic costs in Japan, with Ministry of Health, Labour and Welfare (MHLW) surveys documenting past-three-year power-harassment victimization rates of 32.5% (FY2016) declining to 19.3% (FY2023) following the 2020 Power Harassment Prevention Law. Whether this decline can be attributed to structural intervention, and whether person-level personality interventions could achieve comparable effects, remains an open empirical question. We pre-registered (OSF DOI 10.17605/OSF.IO/3Y54U) a 7-typology HEXACO microsimulation that emulates a target trial of three counterfactual interventions: (A) personality training that shifts Honesty-Humility, Agreeableness, and Emotionality by +0.3 SD; (B) cluster reassignment to three low-prevalence HEXACO typologies; and (C) structural reform that reduces cell-level harassment propensity by 20%, calibrated against three prior meta-analyses. Using N = 354 individual-level survey data partitioned into 14 cells (7 HEXACO typologies × 2 genders) with cell-stratified bootstrap (B = 10,000), Beta-Binomial empirical Bayes shrinkage, and four-step BCa confidence interval cascade, we report that ΔP_A = −0.0061 (95% CI [−0.0199, +0.0054]) and ΔP_B = −0.0058 (95% CI [−0.0199, +0.0056]) are both null, whereas ΔP_C = −0.0354 (95% CI [+0.0266, +0.0445]) is positive and statistically robust. The intersection-union test classifies this configuration as REVERSAL, indicating structural intervention dominance over personality intervention by approximately 5.8×. Sensitivity sweeps confirm robustness across cultural attenuation factors of 0.3–1.0 and across nine pre-registered analytic choices. We interpret HEXACO 7-typology as a stratification variable, not an intervention target, and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ind w:firstLine="720"/>
        <w:jc w:val="left"/>
      </w:pPr>
      <w:r>
        <w:rPr>
          <w:rFonts w:ascii="Times New Roman" w:hAnsi="Times New Roman" w:eastAsia="Times New Roman"/>
          <w:b/>
          <w:i/>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厚生労働省)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(パワーハラスメント防止法),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Glasø, &amp; Einarsen, 2017; Pilch &amp; Turska, 2015), the relative population-level efficacy of person-level versus system-level interventions has not been quantitatively compared in a counterfactually rigorous framework.</w:t>
      </w:r>
    </w:p>
    <w:p>
      <w:pPr>
        <w:spacing w:line="480" w:lineRule="auto" w:before="0" w:after="0"/>
        <w:ind w:firstLine="720"/>
        <w:jc w:val="left"/>
      </w:pPr>
      <w:r>
        <w:rPr>
          <w:rFonts w:ascii="Times New Roman" w:hAnsi="Times New Roman" w:eastAsia="Times New Roman"/>
          <w:b/>
          <w:i/>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Matthiesen, Nielsen, &amp; Einarsen, 2007; Lee et al., 2013; Linton &amp; Power, 2013; Nielsen, Glasø, &amp; Einarsen, 2017). However, the magnitude of these associations is generally modest (uncorrected r typically in the range 0.10–0.30; Nielsen, Glasø, &amp; Einarsen, 2017), and recent meta-analyses suggest considerable cross-cultural heterogeneity in workplace bullying acceptability and effect sizes (Power et al., 2013, comparing six continents; Nielsen, Glasø, &amp; Einarsen,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separately published study, our research group identified seven robust HEXACO clusters in a Japanese sample of N = 13,668 (Tokiwa, 2024, IEEE; herein "the centroid study"). The seven typologies — labeled here as types 0 through 6 — span the joint distribution of HEXACO domains and provide a parsimonious taxonomy for categorizing individuals according to their personality profile. The present study leverages these IEEE-published centroids as fixed parameters for stratifying a smaller harassment-focused subsample (N = 354; Tokiwa, 2025, harassment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ind w:firstLine="720"/>
        <w:jc w:val="left"/>
      </w:pPr>
      <w:r>
        <w:rPr>
          <w:rFonts w:ascii="Times New Roman" w:hAnsi="Times New Roman" w:eastAsia="Times New Roman"/>
          <w:b/>
          <w:i/>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(cluster reassignment): do(cluster ∈ {0, 4, 6}). Individuals are computationally reassigned to one of three low-harassment-prevalence typologies, retaining their original HEXACO scores. This intervention represents an extreme (and arguably implausible) personality-shift scenario, included as an upper bound on what any person-level intervention could achieve.</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MacCurtain, &amp; Mannix-McNamara, 2014; Salin, 2021), as well as the empirical −12.1 percentage-point reduction observed in the MHLW survey series during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ind w:firstLine="720"/>
        <w:jc w:val="left"/>
      </w:pPr>
      <w:r>
        <w:rPr>
          <w:rFonts w:ascii="Times New Roman" w:hAnsi="Times New Roman" w:eastAsia="Times New Roman"/>
          <w:b/>
          <w:i/>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MHLW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IEEE-published centroids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ind w:firstLine="720"/>
        <w:jc w:val="left"/>
      </w:pPr>
      <w:r>
        <w:rPr>
          <w:rFonts w:ascii="Times New Roman" w:hAnsi="Times New Roman" w:eastAsia="Times New Roman"/>
          <w:b/>
          <w:i/>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and open data (N = 354 deposited at OSF; centroids retrieved from IEEE clustering paper supplement).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5.8×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locked 2026-05-21).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ind w:firstLine="720"/>
        <w:jc w:val="left"/>
      </w:pPr>
      <w:r>
        <w:rPr>
          <w:rFonts w:ascii="Times New Roman" w:hAnsi="Times New Roman" w:eastAsia="Times New Roman"/>
          <w:b/>
          <w:i/>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ind w:firstLine="720"/>
        <w:jc w:val="left"/>
      </w:pPr>
      <w:r>
        <w:rPr>
          <w:rFonts w:ascii="Times New Roman" w:hAnsi="Times New Roman" w:eastAsia="Times New Roman"/>
          <w:b/>
          <w:i/>
          <w:sz w:val="24"/>
        </w:rPr>
        <w:t>2.1.2 Cluster centroids (N = 13,668; IEEE-published,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(2024, IEEE)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ind w:firstLine="720"/>
        <w:jc w:val="left"/>
      </w:pPr>
      <w:r>
        <w:rPr>
          <w:rFonts w:ascii="Times New Roman" w:hAnsi="Times New Roman" w:eastAsia="Times New Roman"/>
          <w:b/>
          <w:i/>
          <w:sz w:val="24"/>
        </w:rPr>
        <w:t>2.1.3 Population reweighting (MHLW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MHLW Labor Force Survey Basic Tabulation 2022 Annual Average (公表元: 総務省統計局, 2023; PDF retrieved from e-Stat 2026-04-30 by the investigator and archived at `simulation/data/`). We use Table 3 (年齢階級別就業者数; employed persons by age group) restricted to 就業者 (employed persons), yielding total 6,723万人 with age × gender breakdown {15-64, 65+} × {male, female}. The resulting marginals (F = 0.4498, M = 0.5502) replace the v2.0 Stage 1 placeholder (F = 0.5, M = 0.5).</w:t>
      </w:r>
    </w:p>
    <w:p>
      <w:pPr>
        <w:spacing w:line="480" w:lineRule="auto" w:before="0" w:after="0"/>
        <w:ind w:firstLine="720"/>
        <w:jc w:val="left"/>
      </w:pPr>
      <w:r>
        <w:rPr>
          <w:rFonts w:ascii="Times New Roman" w:hAnsi="Times New Roman" w:eastAsia="Times New Roman"/>
          <w:b/>
          <w:i/>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ind w:firstLine="720"/>
        <w:jc w:val="left"/>
      </w:pPr>
      <w:r>
        <w:rPr>
          <w:rFonts w:ascii="Times New Roman" w:hAnsi="Times New Roman" w:eastAsia="Times New Roman"/>
          <w:b/>
          <w:i/>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ind w:firstLine="720"/>
        <w:jc w:val="left"/>
      </w:pPr>
      <w:r>
        <w:rPr>
          <w:rFonts w:ascii="Times New Roman" w:hAnsi="Times New Roman" w:eastAsia="Times New Roman"/>
          <w:b/>
          <w:i/>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IEEE-published values (M3-fixed; m8 limitation: cluster membership is not in the MHLW data); only the gender marginal is updated to the 2022 working-population value.</w:t>
      </w:r>
    </w:p>
    <w:p>
      <w:pPr>
        <w:spacing w:line="480" w:lineRule="auto" w:before="0" w:after="0"/>
        <w:ind w:firstLine="720"/>
        <w:jc w:val="left"/>
      </w:pPr>
      <w:r>
        <w:rPr>
          <w:rFonts w:ascii="Times New Roman" w:hAnsi="Times New Roman" w:eastAsia="Times New Roman"/>
          <w:b/>
          <w:i/>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ind w:firstLine="720"/>
        <w:jc w:val="left"/>
      </w:pPr>
      <w:r>
        <w:rPr>
          <w:rFonts w:ascii="Times New Roman" w:hAnsi="Times New Roman" w:eastAsia="Times New Roman"/>
          <w:b/>
          <w:i/>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ind w:firstLine="720"/>
        <w:jc w:val="left"/>
      </w:pPr>
      <w:r>
        <w:rPr>
          <w:rFonts w:ascii="Times New Roman" w:hAnsi="Times New Roman" w:eastAsia="Times New Roman"/>
          <w:b/>
          <w:i/>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ind w:firstLine="720"/>
        <w:jc w:val="left"/>
      </w:pPr>
      <w:r>
        <w:rPr>
          <w:rFonts w:ascii="Times New Roman" w:hAnsi="Times New Roman" w:eastAsia="Times New Roman"/>
          <w:b/>
          <w:i/>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ind w:firstLine="720"/>
        <w:jc w:val="left"/>
      </w:pPr>
      <w:r>
        <w:rPr>
          <w:rFonts w:ascii="Times New Roman" w:hAnsi="Times New Roman" w:eastAsia="Times New Roman"/>
          <w:b/>
          <w:i/>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ind w:firstLine="720"/>
        <w:jc w:val="left"/>
      </w:pPr>
      <w:r>
        <w:rPr>
          <w:rFonts w:ascii="Times New Roman" w:hAnsi="Times New Roman" w:eastAsia="Times New Roman"/>
          <w:b/>
          <w:i/>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reassigns each individual to one of the three pre-registered low-prevalence target clusters {0, 4, 6}, retaining their original HEXACO scores and re-computing positivity in the same fashion.</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MacCurtain, &amp; Mannix-McNamara, 2014; Salin, 2021) and the MHLW 2020-2023 natural experiment (−12.1pp ≈ −37%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as:</w:t>
      </w:r>
    </w:p>
    <w:p>
      <w:pPr>
        <w:pStyle w:val="ListBullet"/>
        <w:spacing w:line="480" w:lineRule="auto" w:before="0" w:after="0"/>
      </w:pPr>
      <w:r>
        <w:rPr>
          <w:rFonts w:ascii="Times New Roman" w:hAnsi="Times New Roman" w:eastAsia="Times New Roman"/>
          <w:sz w:val="24"/>
        </w:rPr>
        <w:t>CONFIRMED: L_BA &gt; 0 AND L_BC &gt; 0 (B dominates both A and C);</w:t>
      </w:r>
    </w:p>
    <w:p>
      <w:pPr>
        <w:pStyle w:val="ListBullet"/>
        <w:spacing w:line="480" w:lineRule="auto" w:before="0" w:after="0"/>
      </w:pPr>
      <w:r>
        <w:rPr>
          <w:rFonts w:ascii="Times New Roman" w:hAnsi="Times New Roman" w:eastAsia="Times New Roman"/>
          <w:sz w:val="24"/>
        </w:rPr>
        <w:t>REVERSAL: L_BC &lt; 0 AND L_BA ≥ 0 (C dominates B);</w:t>
      </w:r>
    </w:p>
    <w:p>
      <w:pPr>
        <w:pStyle w:val="ListBullet"/>
        <w:spacing w:line="480" w:lineRule="auto" w:before="0" w:after="0"/>
      </w:pPr>
      <w:r>
        <w:rPr>
          <w:rFonts w:ascii="Times New Roman" w:hAnsi="Times New Roman" w:eastAsia="Times New Roman"/>
          <w:sz w:val="24"/>
        </w:rPr>
        <w:t>PARTIAL: one of L_BA, L_BC &gt; 0 but not both;</w:t>
      </w:r>
    </w:p>
    <w:p>
      <w:pPr>
        <w:pStyle w:val="ListBullet"/>
        <w:spacing w:line="480" w:lineRule="auto" w:before="0" w:after="0"/>
      </w:pPr>
      <w:r>
        <w:rPr>
          <w:rFonts w:ascii="Times New Roman" w:hAnsi="Times New Roman" w:eastAsia="Times New Roman"/>
          <w:sz w:val="24"/>
        </w:rPr>
        <w:t>AMBIGUOUS: neither condition met.</w:t>
      </w:r>
    </w:p>
    <w:p>
      <w:pPr>
        <w:spacing w:line="480" w:lineRule="auto" w:before="0" w:after="0"/>
        <w:ind w:firstLine="720"/>
        <w:jc w:val="left"/>
      </w:pPr>
      <w:r>
        <w:rPr>
          <w:rFonts w:ascii="Times New Roman" w:hAnsi="Times New Roman" w:eastAsia="Times New Roman"/>
          <w:b/>
          <w:i/>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Glasø, and Einarsen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47-test pytest suite (extended to 56 with the MHLW loader tests upon Phase 1 activation)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IEEE-published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all were resolved at the BCa stage (no cells required the BC, percentile, or Clopper-Pearson fallbacks), confirming that the v2.0 master Section 5.1 primary BCa procedure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MHLW Labor Force Survey 2022 marginals (F = 0.4498, M = 0.5502; total 6,723 万人 employed),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**Strict SUCCESS** with a point MAPE of 9.65% and a 95% CI upper bound of 31.52%.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IEEE-published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0.0003 and L_BC = −0.0413 with the configuration L_BA ≥ 0 AND L_BC &lt; 0, classifying H7 as **REVERSAL**.</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personality intervention (Counterfactual A) and the cluster reassignment intervention (Counterfactual B) by a large margin. Numerically, |ΔP_C| / |ΔP_A| ≈ 5.8.</w:t>
      </w:r>
    </w:p>
    <w:p>
      <w:pPr>
        <w:spacing w:line="480" w:lineRule="auto" w:before="0" w:after="0"/>
        <w:ind w:firstLine="720"/>
      </w:pPr>
      <w:r>
        <w:rPr>
          <w:rFonts w:ascii="Times New Roman" w:hAnsi="Times New Roman" w:eastAsia="Times New Roman"/>
          <w:sz w:val="24"/>
        </w:rPr>
        <w:t>**Positivity diagnostic.** Counterfactual A and Counterfactual B trivially preserve positivity (ρ ≡ 1 by construction; per Methods Clarification m5). Counterfactual B's cell positivity ratio ρ_{c, B} was 45.8% flagged (i.e., 45.8%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2024 IEEE)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All 14 cells resolved at BCa stage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High concordance (Spearman ρ &gt; 0.80; computed in supplementary)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MHLW 2022 working-population reweighting) attains MAPE = 9.65% against the FY2023 (post-law) target — a Strict SUCCESS classification — but only PARTIAL SUCCESS against the FY2016 (pre-law) target (MAPE = 46.34%). A literal reading is that our HEXACO 7-typology × MHLW-reweighted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(L_BA ≥ 0, L_BC &lt; 0), indicating that the cell-level structural intervention (Counterfactual C; −20% propensity, calibrated against three meta-analyses and one natural experiment) outperforms both personality intervention (Counterfactual A; +0.3 SD on H/A/E) and cluster reassignment (Counterfactual B; do(cluster ∈ {0, 4, 6})) by a substantial margin. The numerical ratio |ΔP_C| / |ΔP_A| ≈ 5.8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5.8×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MacCurtain, and Mannix-McNamara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 percentage points — far smaller than the ±2 pp variation already present in MHLW year-on-year sampling noise, and ~6×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ind w:firstLine="720"/>
        <w:jc w:val="left"/>
      </w:pPr>
      <w:r>
        <w:rPr>
          <w:rFonts w:ascii="Times New Roman" w:hAnsi="Times New Roman" w:eastAsia="Times New Roman"/>
          <w:b/>
          <w:i/>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MacCurtain, &amp; Mannix-McNamara,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ind w:firstLine="720"/>
        <w:jc w:val="left"/>
      </w:pPr>
      <w:r>
        <w:rPr>
          <w:rFonts w:ascii="Times New Roman" w:hAnsi="Times New Roman" w:eastAsia="Times New Roman"/>
          <w:b/>
          <w:i/>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ind w:firstLine="720"/>
        <w:jc w:val="left"/>
      </w:pPr>
      <w:r>
        <w:rPr>
          <w:rFonts w:ascii="Times New Roman" w:hAnsi="Times New Roman" w:eastAsia="Times New Roman"/>
          <w:b/>
          <w:i/>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ind w:firstLine="720"/>
        <w:jc w:val="left"/>
      </w:pPr>
      <w:r>
        <w:rPr>
          <w:rFonts w:ascii="Times New Roman" w:hAnsi="Times New Roman" w:eastAsia="Times New Roman"/>
          <w:b/>
          <w:i/>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ind w:firstLine="720"/>
        <w:jc w:val="left"/>
      </w:pPr>
      <w:r>
        <w:rPr>
          <w:rFonts w:ascii="Times New Roman" w:hAnsi="Times New Roman" w:eastAsia="Times New Roman"/>
          <w:b/>
          <w:i/>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IEEE-published values for N = 13,668; only the gender marginal is updated to the MHLW 2022 working-population value. This is a conscious limitation: the MHLW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ind w:firstLine="720"/>
        <w:jc w:val="left"/>
      </w:pPr>
      <w:r>
        <w:rPr>
          <w:rFonts w:ascii="Times New Roman" w:hAnsi="Times New Roman" w:eastAsia="Times New Roman"/>
          <w:b/>
          <w:i/>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6×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+0.0354, CI excludes zero), corroborated by the H7 IUT classification of REVERSAL across all four pre-registered cultural attenuation factors, support the conclusion that *structural interventions translate to approximately 5.8×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[in Japanese: 平成28年度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[in Japanese: 令和2年度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[in Japanese: 令和5年度 職場のハラスメントに関する実態調査].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[in Japanese: 労働力調査（基本集計）2022年（令和４年）平均結果の要約]. Tokyo: Statistics Bureau. Retrieved 2026-04-30 from https://www.e-stat.go.jp/</w:t>
      </w:r>
    </w:p>
    <w:p>
      <w:pPr>
        <w:spacing w:line="480" w:lineRule="auto" w:before="0" w:after="0"/>
        <w:ind w:left="720" w:hanging="720"/>
      </w:pPr>
      <w:r>
        <w:rPr>
          <w:rFonts w:ascii="Times New Roman" w:hAnsi="Times New Roman" w:eastAsia="Times New Roman"/>
          <w:sz w:val="24"/>
        </w:rPr>
        <w:t>Tokiwa, E. (2024). HEXACO-based 7-cluster typology of Japanese personality structure (N = 13,668) [Conference paper]. IEEE [conference name pending citation verification]. [Citation requires final journal/proceedings reference.]</w:t>
      </w:r>
    </w:p>
    <w:p>
      <w:pPr>
        <w:spacing w:line="480" w:lineRule="auto" w:before="0" w:after="0"/>
        <w:ind w:left="720" w:hanging="720"/>
      </w:pPr>
      <w:r>
        <w:rPr>
          <w:rFonts w:ascii="Times New Roman" w:hAnsi="Times New Roman" w:eastAsia="Times New Roman"/>
          <w:sz w:val="24"/>
        </w:rPr>
        <w:t>Tokiwa, E. (2025). Workplace harassment in Japan: A HEXACO and Dark Triad multivariate study (N = 354) [Manuscript in preparation / OSF preprint]. SUNBLAZE Co., Ltd. [Pre-print location pending.]</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(2024, IEEE) and Tokiwa (2025, harassment preprint) are self-citations; final DOIs/URLs to be inserted at submission time once the IEEE conference proceedings reference and the harassment preprint OSF/Research Square DOI are confirmed.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sz w:val="24"/>
        </w:rPr>
        <w:t>*Note*. Predicted values are computed via 14-cell HEXACO 7-typology × gender propensity weighted by MHLW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sz w:val="24"/>
        </w:rPr>
        <w:t>*Note*.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sz w:val="24"/>
        </w:rPr>
        <w:t>*Note*. B0 trivially attains MAPE = 0 by construction (its prediction equals MHLW grand mean). H2 was tested via Bonferroni-Holm-corrected pairwise inequalities at one-sided α = 0.05 and Page's L (1963) ordinal trend test as auxiliary. **0 of 4 pairs were confirmed**; Page's L statistic *p*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sz w:val="24"/>
        </w:rPr>
        <w:t>*Note*. Counterfactual operationalization per pre-registered v2.0 Section 5.7. Positive ΔP indicates *reduction* in prevalence (sign convention). Bootstrap CIs use B = 2,000 cell-stratified resamples. The H7 IUT (Berger &amp; Hsu, 1996) computes one-sided 95% lower bounds L_BA and L_BC; classification: REVERSAL = L_BC &lt; 0 AND L_BA ≥ 0.</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(cluster reassignment)</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sz w:val="24"/>
        </w:rPr>
        <w:t>**H7 IUT:** L_BA = 0.0003, L_BC = −0.0413 → **REVERSAL**</w:t>
      </w:r>
    </w:p>
    <w:p>
      <w:pPr>
        <w:spacing w:line="480" w:lineRule="auto" w:before="0" w:after="0"/>
      </w:pPr>
      <w:r>
        <w:rPr>
          <w:rFonts w:ascii="Times New Roman" w:hAnsi="Times New Roman" w:eastAsia="Times New Roman"/>
          <w:sz w:val="24"/>
        </w:rPr>
        <w:t>**Positivity diagnostic (Methods Clarification m5):** Counterfactual A and C trivially preserve positivity. Counterfactual B's flagged-weight share = 45.8%;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sz w:val="24"/>
        </w:rPr>
        <w:t>*Note*.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sz w:val="24"/>
        </w:rPr>
        <w:t>*Note*.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All 14 cells resolved at BCa</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&gt; 0.80</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(N=354 individual data; IEEE 7-cluster centroids; MHLW Labor Force Survey 2022) flowing through Stages 0–8 with their HDF5 outputs. To be generated as PNG/SVG by `simulation/code/report.py`.</w:t>
      </w:r>
    </w:p>
    <w:p>
      <w:pPr>
        <w:spacing w:line="480" w:lineRule="auto" w:before="0" w:after="0"/>
      </w:pPr>
      <w:r>
        <w:rPr>
          <w:rFonts w:ascii="Times New Roman" w:hAnsi="Times New Roman" w:eastAsia="Times New Roman"/>
          <w:sz w:val="24"/>
        </w:rPr>
        <w:t>**Caption.** *The HEXACO 7-typology workplace harassment microsimulation pipeline. Stage 0 (cell propensity) feeds into Stage 1 (population aggregation, MHLW 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sz w:val="24"/>
        </w:rPr>
        <w:t>**Caption.** *Per-cell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sz w:val="24"/>
        </w:rPr>
        <w:t>**Caption.** *Model-based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(Strict SUCCESS).*</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sz w:val="24"/>
        </w:rPr>
        <w:t>**Caption.** *One-at-a-time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sz w:val="24"/>
        </w:rPr>
        <w:t>**Caption.** *Counterfactual ΔP_x estimates and 95% CIs. Personality intervention (A; +0.3 SD on H/A/E) and cluster reassignment (B; do(cluster ∈ {0, 4, 6})) yield null effects (CIs cross zero). Structural intervention (C; −20% propensity, calibrated against three meta-analyses and the MHLW 2020 Law natural experiment) yields a positive effect of +3.54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sz w:val="24"/>
        </w:rPr>
        <w:t>**Caption.** *H7 IUT classification under cultural attenuation factors F ∈ {0.3, 0.5, 0.7, 1.0}. The REVERSAL classification (structural dominance) is preserved across all four factors, including the conservative cross-cultural worst-case anchor (F = 0.3) and the Nielsen, Glasø, and Einarsen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simulation/code/report.py as simulation/output/figure1_pipeline.png.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All figures are saved at 300 DPI in PNG and PDF formats; vector versions (SVG) are also produced for journal submission. PNG embeds are used in `manuscript_preprint.docx` and `manuscript_journal.docx`; PDF/SVG accompany the journal submission as separate files (per RSOS Stage 2 RR submission requirements).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