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A HEXACO 7-Typology Counterfactual Microsimulation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pPr>
      <w:r>
        <w:rPr>
          <w:rFonts w:ascii="Times New Roman" w:hAnsi="Times New Roman" w:eastAsia="Times New Roman"/>
          <w:sz w:val="24"/>
        </w:rPr>
        <w:t>Eisuke Tokiwa  https://orcid.org/0009-0009-7124-6669</w:t>
      </w:r>
    </w:p>
    <w:p>
      <w:pPr>
        <w:spacing w:line="480" w:lineRule="auto" w:before="0" w:after="0"/>
      </w:pPr>
      <w:r>
        <w:rPr>
          <w:rFonts w:ascii="Times New Roman" w:hAnsi="Times New Roman" w:eastAsia="Times New Roman"/>
          <w:sz w:val="24"/>
        </w:rPr>
        <w:t>The author discloses a potential competing interest as detailed in the Declarations below.</w:t>
      </w:r>
    </w:p>
    <w:p>
      <w:pPr>
        <w:spacing w:line="480" w:lineRule="auto" w:before="0" w:after="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pP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p>
    <w:p>
      <w:pPr>
        <w:spacing w:line="480" w:lineRule="auto" w:before="0" w:after="0"/>
      </w:pPr>
      <w:r>
        <w:rPr>
          <w:rFonts w:ascii="Times New Roman" w:hAnsi="Times New Roman" w:eastAsia="Times New Roman"/>
          <w:b/>
          <w:sz w:val="24"/>
        </w:rPr>
        <w:t>Competing Interests</w:t>
      </w:r>
    </w:p>
    <w:p>
      <w:pPr>
        <w:spacing w:line="480" w:lineRule="auto" w:before="0" w:after="0"/>
      </w:pPr>
      <w:r>
        <w:rPr>
          <w:rFonts w:ascii="Times New Roman" w:hAnsi="Times New Roman" w:eastAsia="Times New Roman"/>
          <w:sz w:val="24"/>
        </w:rPr>
        <w:t>The author discloses the following potential competing interest: the author is the representative of SUNBLAZE Co., Ltd. (Tokyo, Japan), which provides HEXACO-JP, a proprietary Japanese-language HEXACO-based personality assessment service. Three points qualify the disclosure. (i) The present study does not use HEXACO-JP. The HEXACO instrument used here is the HEXACO-PI-R Japanese 60-item adaptation published by Wakabayashi (2014), a separately validated and openly cited instrument that predates and is independent of HEXACO-JP. (ii) The present manuscript does not reference, evaluate, market, recommend, or otherwise promote HEXACO-JP or any other SUNBLAZE product or service, and SUNBLAZE Co., Ltd. did not commission, sponsor, or direct the research. (iii) The headline empirical findings (a null personality-intervention contrast, a positive structural-intervention contrast, and the reframing of HEXACO 7-typology as a stratification variable rather than an intervention or screening target) do not differentially favor commercial HEXACO-based assessment products.</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No funding was received for this research. SUNBLAZE Co., Ltd. did not provide any funding, equipment, or compensation, and no external grant funding from public, commercial, or not-for-profit agencies was received. The author conducted the research as an independent academic project at no monetary cost, using publicly available analytical software and previously collected data.</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The N = 354 individual-level harassment data re-analyzed in this study were originally collected under an IRB-approved protocol described in Tokiwa (2025, Research Square preprint, DOI 10.21203/rs.3.rs-7756124/v1). The present study is a secondary analysis of these de-identified data and does not introduce any new contact with participants; consistent with standard practice for secondary analysis of de-identified data covered by the original IRB approval, no additional ethics review was sought.</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All N = 354 participants in the original survey provided informed consent for research use of their de-identified responses (per Tokiwa, 2025). The present secondary analysis introduces no new participant contact.</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Stage 2 Registered Report implements, without deviation, the analysis plan pre-registered as v2.0 at the Open Science Framework (DOI 10.17605/OSF.IO/3Y54U; https://osf.io/3y54u; registered 2026-04-30). The Section 6.5 Level 1 Methods Clarifications Log accompanying the v2.0 registration documents 16 minor specification clarifications applied prior to Stage 0 implementation.</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(parent project Wiki at osf.io/3hxz6/wiki/home/ lists access criteria, IRB requirements, and data-use terms). All analysis code is publicly archived under MIT license at https://github.com/etoki/paper (directory: simulation/).</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sole author (Eisuke Tokiwa) was responsible for conceptualization, methodology, software, formal analysis, investigation, data curation, writing — original draft, and writing — review &amp; editing.</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of the original survey (the underlying N = 354 dataset and its descriptive analyses) is available at Research Square (DOI 10.21203/rs.3.rs-7756124/v1; Tokiwa, 2025). The seven HEXACO cluster centroids used as fixed parameters in this study are from the companion paper Tokiwa (2026, IEEE Access, DOI 10.1109/ACCESS.2026.3651324).</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anonymous external methodologist (mode B; mathematical biology background) whose review memo led to the Section 6.5 Level 1 Methods Clarifications Log, and the N = 354 survey respondents whose anonymized data made this analysis possible.</w:t>
      </w:r>
    </w:p>
    <w:p>
      <w:pPr>
        <w:spacing w:line="480" w:lineRule="auto" w:before="0" w:after="0"/>
      </w:pPr>
    </w:p>
    <w:p>
      <w:pPr>
        <w:spacing w:line="480" w:lineRule="auto" w:before="0" w:after="0"/>
      </w:pPr>
      <w:r>
        <w:rPr>
          <w:rFonts w:ascii="Times New Roman" w:hAnsi="Times New Roman" w:eastAsia="Times New Roman"/>
          <w:sz w:val="24"/>
        </w:rPr>
        <w:t>Note (journal submission): This manuscript is being submitted as a Stage 2 Registered Report. Conditional acceptance based on Stage 1 review of the v2.0 protocol document (https://osf.io/3y54u) is acknowledged in the accompanying cover letter.</w:t>
      </w:r>
    </w:p>
    <w:p>
      <w:r>
        <w:br w:type="page"/>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is associated with substantial mental-health and labor-supply costs in Japan, where Ministry of Health, Labour and Welfare (MHLW) surveys document past-three-year power-harassment victimization declining from 32.5% (FY2016) to 19.3% (FY2023) over the period spanning enforcement of the 2020 Power Harassment Prevention Law. The relative population-level magnitude of plausible person-level versus system-level interventions during this period has not been quantitatively compared in a pre-registered counterfactual framework. We pre-registered (OSF DOI 10.17605/OSF.IO/3Y54U) a 7-typology HEXACO microsimulation that emulates a target trial of three counterfactual interventions: (A) a universal +0.3 SD shift on Honesty-Humility, Agreeableness, and Emotionality; (B) a +0.40 SD Honesty-Humility shift restricted to individuals already in three low-prevalence typologies (Clusters {0, 4, 6}); and (C) a structural cell-level propensity reduction of 20%, calibrated against three meta-analyses of organizational anti-harassment interventions. Using N = 354 individual-level observations partitioned into 14 cells (7 typologies × 2 genders) with cell-stratified bootstrap (B = 10,000), Beta-Binomial empirical Bayes shrinkage, and a four-step BCa confidence-interval cascade, the personality-intervention contrasts are statistically null (ΔP_A = −0.0061, 95% CI [−0.0207, +0.0062]; ΔP_B = −0.0059, 95% CI [−0.0207, +0.0066]), whereas the structural-intervention contrast is positive (ΔP_C = +0.0349, 95% CI [+0.0264, +0.0435]). The pre-registered intersection-union test classifies this configuration as REVERSAL: in absolute magnitude, |ΔP_C|/|ΔP_A| ≈ 5.7. The classification is robust across cultural attenuation factors of 0.3–1.0 and across nine pre-registered analytic choices. We interpret these contrasts conditional on the prior meta-analytic effect sizes from which each counterfactual was calibrated. The findings are consistent with treating HEXACO 7-typology as a stratification variable that identifies differentially exposed subpopulations rather than as a target for individual-level personality modification, and we caution against interpreting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 xml:space="preserve">In a companion study, our research group identified seven robust HEXACO clusters in a Japanese sample of N = 13,668 (Tokiwa, 2026, </w:t>
      </w:r>
      <w:r>
        <w:rPr>
          <w:rFonts w:ascii="Times New Roman" w:hAnsi="Times New Roman" w:eastAsia="Times New Roman"/>
          <w:i/>
          <w:sz w:val="24"/>
        </w:rPr>
        <w:t>IEEE Access</w:t>
      </w:r>
      <w:r>
        <w:rPr>
          <w:rFonts w:ascii="Times New Roman" w:hAnsi="Times New Roman" w:eastAsia="Times New Roman"/>
          <w:sz w:val="24"/>
        </w:rPr>
        <w:t xml:space="preserve">; herein "the centroid study"). The seven typologies — labeled here as types 0 through 6 — span the joint distribution of HEXACO domains and provide a parsimonious taxonomy for categorizing individuals according to their personality profile. The present study leverages these </w:t>
      </w:r>
      <w:r>
        <w:rPr>
          <w:rFonts w:ascii="Times New Roman" w:hAnsi="Times New Roman" w:eastAsia="Times New Roman"/>
          <w:i/>
          <w:sz w:val="24"/>
        </w:rPr>
        <w:t>IEEE Access</w:t>
      </w:r>
      <w:r>
        <w:rPr>
          <w:rFonts w:ascii="Times New Roman" w:hAnsi="Times New Roman" w:eastAsia="Times New Roman"/>
          <w:sz w:val="24"/>
        </w:rPr>
        <w:t>–published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 20260429, Docker container, MIT-licensed code; public supplementary archive at OSF DOI 10.17605/OSF.IO/3Y54U), open aggregate data (Stage 0–8 HDF5 artifacts, figures, and a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w:t>
      </w:r>
      <w:r>
        <w:rPr>
          <w:rFonts w:ascii="Times New Roman" w:hAnsi="Times New Roman" w:eastAsia="Times New Roman"/>
          <w:i/>
          <w:sz w:val="24"/>
        </w:rPr>
        <w:t>IEEE Access</w:t>
      </w:r>
      <w:r>
        <w:rPr>
          <w:rFonts w:ascii="Times New Roman" w:hAnsi="Times New Roman" w:eastAsia="Times New Roman"/>
          <w:sz w:val="24"/>
        </w:rPr>
        <w:t xml:space="preserve"> clustering paper, Tokiwa, 2026).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sketches future agent-based extensions, and develops the research implications of the integrated findings.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 xml:space="preserve">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w:t>
      </w:r>
      <w:r>
        <w:rPr>
          <w:rFonts w:ascii="Times New Roman" w:hAnsi="Times New Roman" w:eastAsia="Times New Roman"/>
          <w:sz w:val="24"/>
        </w:rPr>
        <w:t>make reproduce</w:t>
      </w:r>
      <w:r>
        <w:rPr>
          <w:rFonts w:ascii="Times New Roman" w:hAnsi="Times New Roman" w:eastAsia="Times New Roman"/>
          <w:sz w:val="24"/>
        </w:rPr>
        <w:t xml:space="preserve"> (~30 minutes on a single core). All stochastic operations use the locked seed 20260429.</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 IEEE Access, M3-fixed)</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w:t>
      </w:r>
      <w:r>
        <w:rPr>
          <w:rFonts w:ascii="Times New Roman" w:hAnsi="Times New Roman" w:eastAsia="Times New Roman"/>
          <w:i/>
          <w:sz w:val="24"/>
        </w:rPr>
        <w:t>IEEE Access</w:t>
      </w:r>
      <w:r>
        <w:rPr>
          <w:rFonts w:ascii="Times New Roman" w:hAnsi="Times New Roman" w:eastAsia="Times New Roman"/>
          <w:sz w:val="24"/>
        </w:rPr>
        <w:t xml:space="preserve">; DOI 10.1109/ACCESS.2026.3651324) clustering of N = 13,668 Japanese respondents. Per pre-registration v2.0 Methods Clarification M3,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jackknife acceleration parameter â (Methods Clarification m4)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 xml:space="preserve">The national prevalence is computed as the weighted sum P̂_t = Σ_c (p̂_c × W_c) / Σ_c W_c, where W_c is the cluster × gender population weight. Cluster proportions remain at the Tokiwa (2026, </w:t>
      </w:r>
      <w:r>
        <w:rPr>
          <w:rFonts w:ascii="Times New Roman" w:hAnsi="Times New Roman" w:eastAsia="Times New Roman"/>
          <w:i/>
          <w:sz w:val="24"/>
        </w:rPr>
        <w:t>IEEE Access</w:t>
      </w:r>
      <w:r>
        <w:rPr>
          <w:rFonts w:ascii="Times New Roman" w:hAnsi="Times New Roman" w:eastAsia="Times New Roman"/>
          <w:sz w:val="24"/>
        </w:rPr>
        <w:t>)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w:t>
      </w:r>
      <w:r>
        <w:rPr>
          <w:rFonts w:ascii="Times New Roman" w:hAnsi="Times New Roman" w:eastAsia="Times New Roman"/>
          <w:sz w:val="24"/>
        </w:rPr>
        <w:t>code/stage7_counterfactual.py:DELTA_B_MAIN_SD</w:t>
      </w:r>
      <w:r>
        <w:rPr>
          <w:rFonts w:ascii="Times New Roman" w:hAnsi="Times New Roman" w:eastAsia="Times New Roman"/>
          <w:sz w:val="24"/>
        </w:rPr>
        <w:t xml:space="preserve">)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 xml:space="preserve">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w:t>
      </w:r>
      <w:r>
        <w:rPr>
          <w:rFonts w:ascii="Times New Roman" w:hAnsi="Times New Roman" w:eastAsia="Times New Roman"/>
          <w:sz w:val="24"/>
        </w:rPr>
        <w:t>simulation/code/verify_reproduction.py</w:t>
      </w:r>
      <w:r>
        <w:rPr>
          <w:rFonts w:ascii="Times New Roman" w:hAnsi="Times New Roman" w:eastAsia="Times New Roman"/>
          <w:sz w:val="24"/>
        </w:rPr>
        <w:t xml:space="preserve"> and compared against </w:t>
      </w:r>
      <w:r>
        <w:rPr>
          <w:rFonts w:ascii="Times New Roman" w:hAnsi="Times New Roman" w:eastAsia="Times New Roman"/>
          <w:sz w:val="24"/>
        </w:rPr>
        <w:t>reference_hashes.json</w:t>
      </w:r>
      <w:r>
        <w:rPr>
          <w:rFonts w:ascii="Times New Roman" w:hAnsi="Times New Roman" w:eastAsia="Times New Roman"/>
          <w:sz w:val="24"/>
        </w:rPr>
        <w:t xml:space="preserve">. The Docker container </w:t>
      </w:r>
      <w:r>
        <w:rPr>
          <w:rFonts w:ascii="Times New Roman" w:hAnsi="Times New Roman" w:eastAsia="Times New Roman"/>
          <w:sz w:val="24"/>
        </w:rPr>
        <w:t>Dockerfile</w:t>
      </w:r>
      <w:r>
        <w:rPr>
          <w:rFonts w:ascii="Times New Roman" w:hAnsi="Times New Roman" w:eastAsia="Times New Roman"/>
          <w:sz w:val="24"/>
        </w:rPr>
        <w:t xml:space="preserve"> and the </w:t>
      </w:r>
      <w:r>
        <w:rPr>
          <w:rFonts w:ascii="Times New Roman" w:hAnsi="Times New Roman" w:eastAsia="Times New Roman"/>
          <w:sz w:val="24"/>
        </w:rPr>
        <w:t>Makefile</w:t>
      </w:r>
      <w:r>
        <w:rPr>
          <w:rFonts w:ascii="Times New Roman" w:hAnsi="Times New Roman" w:eastAsia="Times New Roman"/>
          <w:sz w:val="24"/>
        </w:rPr>
        <w:t xml:space="preserve"> </w:t>
      </w:r>
      <w:r>
        <w:rPr>
          <w:rFonts w:ascii="Times New Roman" w:hAnsi="Times New Roman" w:eastAsia="Times New Roman"/>
          <w:sz w:val="24"/>
        </w:rPr>
        <w:t>reproduce</w:t>
      </w:r>
      <w:r>
        <w:rPr>
          <w:rFonts w:ascii="Times New Roman" w:hAnsi="Times New Roman" w:eastAsia="Times New Roman"/>
          <w:sz w:val="24"/>
        </w:rPr>
        <w:t xml:space="preserve"> target encapsulate the full pipeline. A 56-test pytest suite (including the MHLW loader tests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simulation/data/mhlw_labor_force_2022.csv (provenance: e-Stat retrieval 2026-04-30).</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 xml:space="preserve">The N = 354 sample was assigned to 14 cells (7 HEXACO clusters × 2 genders) via Euclidean nearest-centroid hard-assignment, using the Tokiwa (2026, </w:t>
      </w:r>
      <w:r>
        <w:rPr>
          <w:rFonts w:ascii="Times New Roman" w:hAnsi="Times New Roman" w:eastAsia="Times New Roman"/>
          <w:i/>
          <w:sz w:val="24"/>
        </w:rPr>
        <w:t>IEEE Access</w:t>
      </w:r>
      <w:r>
        <w:rPr>
          <w:rFonts w:ascii="Times New Roman" w:hAnsi="Times New Roman" w:eastAsia="Times New Roman"/>
          <w:sz w:val="24"/>
        </w:rPr>
        <w:t>)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m7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(consistent with L_BC &lt; 0 in the CI-based cascade; L_BA also lies just below zero, ruling out the CONFIRMED branch).</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2026 IEEE Access)</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m7 priority-1 condition (point ΔP_B &lt; point ΔP_C; L_BC = −0.0544 also lies below zero in the CI cascade), indicating that the cell-level structural-intervention contrast (Counterfactual C; −20% propensity, calibrated against three meta-analyses)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and verifies that the structural-intervention contrast does not differentially fail any subgroup, but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m8 limitation: cluster proportions M3-fixed</w:t>
      </w:r>
    </w:p>
    <w:p>
      <w:pPr>
        <w:spacing w:line="480" w:lineRule="auto" w:before="0" w:after="0"/>
        <w:ind w:firstLine="720"/>
      </w:pPr>
      <w:r>
        <w:rPr>
          <w:rFonts w:ascii="Times New Roman" w:hAnsi="Times New Roman" w:eastAsia="Times New Roman"/>
          <w:sz w:val="24"/>
        </w:rPr>
        <w:t xml:space="preserve">Per Methods Clarification m8, the 7-cluster proportions used in Stage 1 reweighting remain fixed at the Tokiwa (2026, </w:t>
      </w:r>
      <w:r>
        <w:rPr>
          <w:rFonts w:ascii="Times New Roman" w:hAnsi="Times New Roman" w:eastAsia="Times New Roman"/>
          <w:i/>
          <w:sz w:val="24"/>
        </w:rPr>
        <w:t>IEEE Access</w:t>
      </w:r>
      <w:r>
        <w:rPr>
          <w:rFonts w:ascii="Times New Roman" w:hAnsi="Times New Roman" w:eastAsia="Times New Roman"/>
          <w:sz w:val="24"/>
        </w:rPr>
        <w:t>)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Predicted values are computed via 14-cell HEXACO 7-typology × gender propensity weighted by Statistics Bureau (MIC) Labor Force Survey 2022 marginals. Bootstrap 95% CIs use B = 10,000 cell-stratified resamples (Methods Clarification m3). Tier classification per pre-registered four-tier hierarchy (v2.0 Section 5.4).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B0 trivially attains MAPE = 0 by construction (its prediction equals MHLW grand mean). H2 was tested via Bonferroni-Holm-corrected pairwise inequalities at one-sided α = 0.05 and Page's L (1963) ordinal trend test as auxiliary. </w:t>
      </w:r>
      <w:r>
        <w:rPr>
          <w:rFonts w:ascii="Times New Roman" w:hAnsi="Times New Roman" w:eastAsia="Times New Roman"/>
          <w:b/>
          <w:sz w:val="24"/>
        </w:rPr>
        <w:t>0 of 4 pairs were confirmed</w:t>
      </w:r>
      <w:r>
        <w:rPr>
          <w:rFonts w:ascii="Times New Roman" w:hAnsi="Times New Roman" w:eastAsia="Times New Roman"/>
          <w:sz w:val="24"/>
        </w:rPr>
        <w:t xml:space="preserve">; Page's L statistic </w:t>
      </w:r>
      <w:r>
        <w:rPr>
          <w:rFonts w:ascii="Times New Roman" w:hAnsi="Times New Roman" w:eastAsia="Times New Roman"/>
          <w:i/>
          <w:sz w:val="24"/>
        </w:rPr>
        <w:t>p</w:t>
      </w:r>
      <w:r>
        <w:rPr>
          <w:rFonts w:ascii="Times New Roman" w:hAnsi="Times New Roman" w:eastAsia="Times New Roman"/>
          <w:sz w:val="24"/>
        </w:rPr>
        <w:t xml:space="preserve"> = 0.9757. H2 decision: ambiguous_or_reversed.</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Counterfactual operationalization per pre-registered v2.0 Section 5.7.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(sign convention). Bootstrap CIs use B = 2,000 cell-stratified resamples. The H7 IUT (Berger &amp; Hsu, 1996) computes one-sided 95% lower bounds L_BA and L_BC. Classification follows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b/>
          <w:sz w:val="24"/>
        </w:rPr>
        <w:t>H7 IUT:</w:t>
      </w:r>
      <w:r>
        <w:rPr>
          <w:rFonts w:ascii="Times New Roman" w:hAnsi="Times New Roman" w:eastAsia="Times New Roman"/>
          <w:sz w:val="24"/>
        </w:rPr>
        <w:t xml:space="preserve"> L_BA = −0.0011, L_BC = −0.0544; point ΔP_B &lt; point ΔP_C triggers m7 priority-1 → </w:t>
      </w:r>
      <w:r>
        <w:rPr>
          <w:rFonts w:ascii="Times New Roman" w:hAnsi="Times New Roman" w:eastAsia="Times New Roman"/>
          <w:b/>
          <w:sz w:val="24"/>
        </w:rPr>
        <w:t>REVERSAL</w:t>
      </w:r>
    </w:p>
    <w:p>
      <w:pPr>
        <w:spacing w:line="480" w:lineRule="auto" w:before="0" w:after="0"/>
      </w:pPr>
      <w:r>
        <w:rPr>
          <w:rFonts w:ascii="Times New Roman" w:hAnsi="Times New Roman" w:eastAsia="Times New Roman"/>
          <w:b/>
          <w:sz w:val="24"/>
        </w:rPr>
        <w:t>Positivity diagnostic (Methods Clarification m5):</w:t>
      </w:r>
      <w:r>
        <w:rPr>
          <w:rFonts w:ascii="Times New Roman" w:hAnsi="Times New Roman" w:eastAsia="Times New Roman"/>
          <w:sz w:val="24"/>
        </w:rPr>
        <w:t xml:space="preserve"> Counterfactual A and C trivially preserve positivity. Counterfactual B's flagged-weight share = 44.5%; m5 downgrade rule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Hypothesis classification per v2.0 pre-registration master Section 5.4 (H1) and Section 5.7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Verified in centroid study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14-cell vs 28-cell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 xml:space="preserve">A box-and-arrow diagram of the nine pre-registered pipeline stages, showing the data inputs (N=354 individual data; Tokiwa 2026 </w:t>
      </w:r>
      <w:r>
        <w:rPr>
          <w:rFonts w:ascii="Times New Roman" w:hAnsi="Times New Roman" w:eastAsia="Times New Roman"/>
          <w:i/>
          <w:sz w:val="24"/>
        </w:rPr>
        <w:t>IEEE Access</w:t>
      </w:r>
      <w:r>
        <w:rPr>
          <w:rFonts w:ascii="Times New Roman" w:hAnsi="Times New Roman" w:eastAsia="Times New Roman"/>
          <w:sz w:val="24"/>
        </w:rPr>
        <w:t xml:space="preserve"> 7-cluster centroids; Statistics Bureau (MIC) Labor Force Survey 2022) flowing through Stages 0–8 with their HDF5 outputs. Generated as PNG/PDF/SVG by </w:t>
      </w:r>
      <w:r>
        <w:rPr>
          <w:rFonts w:ascii="Times New Roman" w:hAnsi="Times New Roman" w:eastAsia="Times New Roman"/>
          <w:sz w:val="24"/>
        </w:rPr>
        <w:t>simulation/code/figures.py</w:t>
      </w:r>
      <w:r>
        <w:rPr>
          <w:rFonts w:ascii="Times New Roman" w:hAnsi="Times New Roman" w:eastAsia="Times New Roman"/>
          <w:sz w:val="24"/>
        </w:rPr>
        <w:t xml:space="preserve"> (Makefile target </w:t>
      </w:r>
      <w:r>
        <w:rPr>
          <w:rFonts w:ascii="Times New Roman" w:hAnsi="Times New Roman" w:eastAsia="Times New Roman"/>
          <w:sz w:val="24"/>
        </w:rPr>
        <w:t>figures</w:t>
      </w:r>
      <w:r>
        <w:rPr>
          <w:rFonts w:ascii="Times New Roman" w:hAnsi="Times New Roman" w:eastAsia="Times New Roman"/>
          <w:sz w:val="24"/>
        </w:rPr>
        <w:t>).</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v2.0 master Section 5.1 convention (cluster × 2 + gender index).</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Per-cell power-harassment victimization propensities P̂_c with 95% BCa CIs.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Generated by simulation/code/figures.py as simulation/output/figures/figure1_pipeline.{png,pdf,svg}. The pipeline schematic is illustrative; values come from the v2.0 master.</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 xml:space="preserve">All figures are saved at 300 DPI in PNG and PDF formats; vector versions (SVG) are also produced for journal submission. PNG embeds are used in </w:t>
      </w:r>
      <w:r>
        <w:rPr>
          <w:rFonts w:ascii="Times New Roman" w:hAnsi="Times New Roman" w:eastAsia="Times New Roman"/>
          <w:sz w:val="24"/>
        </w:rPr>
        <w:t>manuscript_preprint.docx</w:t>
      </w:r>
      <w:r>
        <w:rPr>
          <w:rFonts w:ascii="Times New Roman" w:hAnsi="Times New Roman" w:eastAsia="Times New Roman"/>
          <w:sz w:val="24"/>
        </w:rPr>
        <w:t xml:space="preserve"> and </w:t>
      </w:r>
      <w:r>
        <w:rPr>
          <w:rFonts w:ascii="Times New Roman" w:hAnsi="Times New Roman" w:eastAsia="Times New Roman"/>
          <w:sz w:val="24"/>
        </w:rPr>
        <w:t>manuscript_journal.docx</w:t>
      </w:r>
      <w:r>
        <w:rPr>
          <w:rFonts w:ascii="Times New Roman" w:hAnsi="Times New Roman" w:eastAsia="Times New Roman"/>
          <w:sz w:val="24"/>
        </w:rPr>
        <w:t>; PDF/SVG accompany the journal submission as separate files (per RSOS Stage 2 RR submission requirements).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HEXACO COUNTERFACTUAL MICROSIMULATION</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