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Founder of SUNBLAZE Co., Ltd.</w:t>
      </w:r>
    </w:p>
    <w:p>
      <w:pPr>
        <w:spacing w:line="480" w:lineRule="auto" w:before="0" w:after="0"/>
        <w:jc w:val="center"/>
      </w:pPr>
      <w:r>
        <w:rPr>
          <w:rFonts w:ascii="Times New Roman" w:hAnsi="Times New Roman" w:eastAsia="Times New Roman"/>
          <w:sz w:val="24"/>
        </w:rPr>
        <w:t>Tokyo, Japan</w:t>
      </w:r>
    </w:p>
    <w:p>
      <w:pPr>
        <w:spacing w:line="480" w:lineRule="auto" w:before="0" w:after="0"/>
        <w:jc w:val="center"/>
      </w:pPr>
      <w:r>
        <w:rPr>
          <w:rFonts w:ascii="Times New Roman" w:hAnsi="Times New Roman" w:eastAsia="Times New Roman"/>
          <w:sz w:val="24"/>
        </w:rPr>
        <w:t>eisuke.tokiwa@sunblaze.jp</w:t>
      </w:r>
    </w:p>
    <w:p>
      <w:pPr>
        <w:spacing w:line="480" w:lineRule="auto" w:before="0" w:after="0"/>
        <w:jc w:val="center"/>
      </w:pPr>
      <w:r>
        <w:rPr>
          <w:rFonts w:ascii="Times New Roman" w:hAnsi="Times New Roman" w:eastAsia="Times New Roman"/>
          <w:sz w:val="24"/>
        </w:rPr>
        <w:t>ORCID: 0009-0009-7124-6669</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meta-analysis synthesizes data from previously published studies and does not involve direct collection of data from human participants. Ethical approval for the original studies was the responsibility of the authors of those studies.</w:t>
      </w:r>
    </w:p>
    <w:p>
      <w:pPr>
        <w:spacing w:line="480" w:lineRule="auto" w:before="0" w:after="0"/>
      </w:pPr>
    </w:p>
    <w:p>
      <w:pPr>
        <w:spacing w:line="480" w:lineRule="auto" w:before="0" w:after="0"/>
      </w:pPr>
      <w:r>
        <w:rPr>
          <w:rFonts w:ascii="Times New Roman" w:hAnsi="Times New Roman" w:eastAsia="Times New Roman"/>
          <w:b/>
          <w:sz w:val="24"/>
        </w:rPr>
        <w:t>Informed Consent</w:t>
      </w:r>
    </w:p>
    <w:p>
      <w:pPr>
        <w:spacing w:line="480" w:lineRule="auto" w:before="0" w:after="0"/>
      </w:pPr>
      <w:r>
        <w:rPr>
          <w:rFonts w:ascii="Times New Roman" w:hAnsi="Times New Roman" w:eastAsia="Times New Roman"/>
          <w:sz w:val="24"/>
        </w:rPr>
        <w:t>Not applicable. All included studies obtained informed consent from their participants in accordance with institutional and journal requirements at the time of original data collection.</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(https://osf.io/79m5j/).</w:t>
      </w:r>
    </w:p>
    <w:p>
      <w:pPr>
        <w:spacing w:line="480" w:lineRule="auto" w:before="0" w:after="0"/>
      </w:pPr>
    </w:p>
    <w:p>
      <w:pPr>
        <w:spacing w:line="480" w:lineRule="auto" w:before="0" w:after="0"/>
      </w:pPr>
      <w:r>
        <w:rPr>
          <w:rFonts w:ascii="Times New Roman" w:hAnsi="Times New Roman" w:eastAsia="Times New Roman"/>
          <w:b/>
          <w:sz w:val="24"/>
        </w:rPr>
        <w:t>Availability of data and material</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(https://osf.io/79m5j/). The complete data extraction CSV, R and Python analysis scripts, pooled results, moderator analyses, sensitivity analyses, and the generating code for all tables and figures are deposited in the corresponding OSF components (01_protocol, 02_search, 04_extraction, 06_analysis).</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(https://doi.org/[TO BE FILLED AFTER PREPRINT DOI IS ASSIGNED]).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