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line="480" w:lineRule="auto" w:before="0" w:after="0"/>
        <w:jc w:val="center"/>
      </w:pPr>
    </w:p>
    <w:p>
      <w:pPr>
        <w:spacing w:line="480" w:lineRule="auto" w:before="0" w:after="0"/>
        <w:jc w:val="center"/>
      </w:pPr>
    </w:p>
    <w:p>
      <w:pPr>
        <w:spacing w:line="480" w:lineRule="auto" w:before="0" w:after="0"/>
        <w:jc w:val="center"/>
      </w:pPr>
    </w:p>
    <w:p>
      <w:pPr>
        <w:spacing w:line="480" w:lineRule="auto" w:before="0" w:after="0"/>
        <w:jc w:val="center"/>
      </w:pPr>
    </w:p>
    <w:p>
      <w:pPr>
        <w:spacing w:line="480" w:lineRule="auto" w:before="0" w:after="0"/>
        <w:jc w:val="center"/>
      </w:pPr>
      <w:r>
        <w:rPr>
          <w:rFonts w:ascii="Times New Roman" w:hAnsi="Times New Roman" w:eastAsia="Times New Roman"/>
          <w:b/>
          <w:sz w:val="24"/>
        </w:rPr>
        <w:t>Big Five Personality Traits and Academic Achievement in Online Learning Environments: A Systematic Review and Meta-Analysis</w:t>
      </w:r>
    </w:p>
    <w:p>
      <w:pPr>
        <w:spacing w:line="480" w:lineRule="auto" w:before="0" w:after="0"/>
        <w:jc w:val="center"/>
      </w:pPr>
    </w:p>
    <w:p>
      <w:pPr>
        <w:spacing w:line="480" w:lineRule="auto" w:before="0" w:after="0"/>
        <w:jc w:val="center"/>
      </w:pPr>
    </w:p>
    <w:p>
      <w:pPr>
        <w:spacing w:line="480" w:lineRule="auto" w:before="0" w:after="0"/>
        <w:jc w:val="center"/>
      </w:pPr>
      <w:r>
        <w:rPr>
          <w:rFonts w:ascii="Times New Roman" w:hAnsi="Times New Roman" w:eastAsia="Times New Roman"/>
          <w:sz w:val="24"/>
        </w:rPr>
        <w:t>Eisuke Tokiwa</w:t>
      </w:r>
    </w:p>
    <w:p>
      <w:pPr>
        <w:spacing w:line="480" w:lineRule="auto" w:before="0" w:after="0"/>
        <w:jc w:val="center"/>
      </w:pPr>
      <w:r>
        <w:rPr>
          <w:rFonts w:ascii="Times New Roman" w:hAnsi="Times New Roman" w:eastAsia="Times New Roman"/>
          <w:sz w:val="24"/>
        </w:rPr>
        <w:t>Founder of SUNBLAZE Co., Ltd.</w:t>
      </w:r>
    </w:p>
    <w:p>
      <w:pPr>
        <w:spacing w:line="480" w:lineRule="auto" w:before="0" w:after="0"/>
        <w:jc w:val="center"/>
      </w:pPr>
      <w:r>
        <w:rPr>
          <w:rFonts w:ascii="Times New Roman" w:hAnsi="Times New Roman" w:eastAsia="Times New Roman"/>
          <w:sz w:val="24"/>
        </w:rPr>
        <w:t>Tokyo, Japan</w:t>
      </w:r>
    </w:p>
    <w:p>
      <w:pPr>
        <w:spacing w:line="480" w:lineRule="auto" w:before="0" w:after="0"/>
        <w:jc w:val="center"/>
      </w:pPr>
      <w:r>
        <w:rPr>
          <w:rFonts w:ascii="Times New Roman" w:hAnsi="Times New Roman" w:eastAsia="Times New Roman"/>
          <w:sz w:val="24"/>
        </w:rPr>
        <w:t>eisuke.tokiwa@sunblaze.jp</w:t>
      </w:r>
    </w:p>
    <w:p>
      <w:pPr>
        <w:spacing w:line="480" w:lineRule="auto" w:before="0" w:after="0"/>
        <w:jc w:val="center"/>
      </w:pPr>
      <w:r>
        <w:rPr>
          <w:rFonts w:ascii="Times New Roman" w:hAnsi="Times New Roman" w:eastAsia="Times New Roman"/>
          <w:sz w:val="24"/>
        </w:rPr>
        <w:t>ORCID: 0009-0009-7124-6669</w:t>
      </w:r>
    </w:p>
    <w:p>
      <w:r>
        <w:br w:type="page"/>
      </w:r>
    </w:p>
    <w:p>
      <w:pPr>
        <w:spacing w:line="480" w:lineRule="auto" w:before="0" w:after="0"/>
      </w:pPr>
    </w:p>
    <w:p>
      <w:pPr>
        <w:spacing w:line="480" w:lineRule="auto" w:before="0" w:after="0"/>
      </w:pPr>
      <w:r>
        <w:rPr>
          <w:rFonts w:ascii="Times New Roman" w:hAnsi="Times New Roman" w:eastAsia="Times New Roman"/>
          <w:b/>
          <w:sz w:val="24"/>
        </w:rPr>
        <w:t>Declarations</w:t>
      </w:r>
    </w:p>
    <w:p>
      <w:pPr>
        <w:spacing w:line="480" w:lineRule="auto" w:before="0" w:after="0"/>
      </w:pPr>
      <w:r>
        <w:rPr>
          <w:rFonts w:ascii="Times New Roman" w:hAnsi="Times New Roman" w:eastAsia="Times New Roman"/>
          <w:b/>
          <w:sz w:val="24"/>
        </w:rPr>
        <w:t>Conflict of Interest</w:t>
      </w:r>
    </w:p>
    <w:p>
      <w:pPr>
        <w:spacing w:line="480" w:lineRule="auto" w:before="0" w:after="0"/>
      </w:pPr>
      <w:r>
        <w:rPr>
          <w:rFonts w:ascii="Times New Roman" w:hAnsi="Times New Roman" w:eastAsia="Times New Roman"/>
          <w:sz w:val="24"/>
        </w:rPr>
        <w:t>The author declares that there are no financial or personal relationships with other people or organizations that could inappropriately influence this work, except that one of the author's prior primary studies (Tokiwa, 2025) is potentially eligible for inclusion in the present meta-analysis. This conflict is addressed through a pre-specified sensitivity analysis excluding the author's own study.</w:t>
      </w:r>
    </w:p>
    <w:p>
      <w:pPr>
        <w:spacing w:line="480" w:lineRule="auto" w:before="0" w:after="0"/>
      </w:pPr>
    </w:p>
    <w:p>
      <w:pPr>
        <w:spacing w:line="480" w:lineRule="auto" w:before="0" w:after="0"/>
      </w:pPr>
      <w:r>
        <w:rPr>
          <w:rFonts w:ascii="Times New Roman" w:hAnsi="Times New Roman" w:eastAsia="Times New Roman"/>
          <w:b/>
          <w:sz w:val="24"/>
        </w:rPr>
        <w:t>Funding</w:t>
      </w:r>
    </w:p>
    <w:p>
      <w:pPr>
        <w:spacing w:line="480" w:lineRule="auto" w:before="0" w:after="0"/>
      </w:pPr>
      <w:r>
        <w:rPr>
          <w:rFonts w:ascii="Times New Roman" w:hAnsi="Times New Roman" w:eastAsia="Times New Roman"/>
          <w:sz w:val="24"/>
        </w:rPr>
        <w:t>This research did not receive any specific grant from funding agencies in the public, commercial, or not-for-profit sectors.</w:t>
      </w:r>
    </w:p>
    <w:p>
      <w:pPr>
        <w:spacing w:line="480" w:lineRule="auto" w:before="0" w:after="0"/>
      </w:pPr>
    </w:p>
    <w:p>
      <w:pPr>
        <w:spacing w:line="480" w:lineRule="auto" w:before="0" w:after="0"/>
      </w:pPr>
      <w:r>
        <w:rPr>
          <w:rFonts w:ascii="Times New Roman" w:hAnsi="Times New Roman" w:eastAsia="Times New Roman"/>
          <w:b/>
          <w:sz w:val="24"/>
        </w:rPr>
        <w:t>Ethics Approval</w:t>
      </w:r>
    </w:p>
    <w:p>
      <w:pPr>
        <w:spacing w:line="480" w:lineRule="auto" w:before="0" w:after="0"/>
      </w:pPr>
      <w:r>
        <w:rPr>
          <w:rFonts w:ascii="Times New Roman" w:hAnsi="Times New Roman" w:eastAsia="Times New Roman"/>
          <w:sz w:val="24"/>
        </w:rPr>
        <w:t>Not applicable. This meta-analysis synthesizes data from previously published studies and does not involve direct collection of data from human participants. Ethical approval for the original studies was the responsibility of the authors of those studies.</w:t>
      </w:r>
    </w:p>
    <w:p>
      <w:pPr>
        <w:spacing w:line="480" w:lineRule="auto" w:before="0" w:after="0"/>
      </w:pPr>
    </w:p>
    <w:p>
      <w:pPr>
        <w:spacing w:line="480" w:lineRule="auto" w:before="0" w:after="0"/>
      </w:pPr>
      <w:r>
        <w:rPr>
          <w:rFonts w:ascii="Times New Roman" w:hAnsi="Times New Roman" w:eastAsia="Times New Roman"/>
          <w:b/>
          <w:sz w:val="24"/>
        </w:rPr>
        <w:t>Informed Consent</w:t>
      </w:r>
    </w:p>
    <w:p>
      <w:pPr>
        <w:spacing w:line="480" w:lineRule="auto" w:before="0" w:after="0"/>
      </w:pPr>
      <w:r>
        <w:rPr>
          <w:rFonts w:ascii="Times New Roman" w:hAnsi="Times New Roman" w:eastAsia="Times New Roman"/>
          <w:sz w:val="24"/>
        </w:rPr>
        <w:t>Not applicable. All included studies obtained informed consent from their participants in accordance with institutional and journal requirements at the time of original data collection.</w:t>
      </w:r>
    </w:p>
    <w:p>
      <w:pPr>
        <w:spacing w:line="480" w:lineRule="auto" w:before="0" w:after="0"/>
      </w:pPr>
    </w:p>
    <w:p>
      <w:pPr>
        <w:spacing w:line="480" w:lineRule="auto" w:before="0" w:after="0"/>
      </w:pPr>
      <w:r>
        <w:rPr>
          <w:rFonts w:ascii="Times New Roman" w:hAnsi="Times New Roman" w:eastAsia="Times New Roman"/>
          <w:b/>
          <w:sz w:val="24"/>
        </w:rPr>
        <w:t>Pre-registration</w:t>
      </w:r>
    </w:p>
    <w:p>
      <w:pPr>
        <w:spacing w:line="480" w:lineRule="auto" w:before="0" w:after="0"/>
      </w:pPr>
      <w:r>
        <w:rPr>
          <w:rFonts w:ascii="Times New Roman" w:hAnsi="Times New Roman" w:eastAsia="Times New Roman"/>
          <w:sz w:val="24"/>
        </w:rPr>
        <w:t>This systematic review and meta-analysis was pre-registered on OSF Registries (https://osf.io/e5w47/; DOI: 10.17605/OSF.IO/E5W47) on April 23, 2026, prior to formal data extraction and quantitative synthesis. The full protocol (PRISMA-P 2015 compliant) and supplementary materials are publicly available in the associated OSF project (https://osf.io/79m5j/).</w:t>
      </w:r>
    </w:p>
    <w:p>
      <w:pPr>
        <w:spacing w:line="480" w:lineRule="auto" w:before="0" w:after="0"/>
      </w:pPr>
    </w:p>
    <w:p>
      <w:pPr>
        <w:spacing w:line="480" w:lineRule="auto" w:before="0" w:after="0"/>
      </w:pPr>
      <w:r>
        <w:rPr>
          <w:rFonts w:ascii="Times New Roman" w:hAnsi="Times New Roman" w:eastAsia="Times New Roman"/>
          <w:b/>
          <w:sz w:val="24"/>
        </w:rPr>
        <w:t>Availability of data and material</w:t>
      </w:r>
    </w:p>
    <w:p>
      <w:pPr>
        <w:spacing w:line="480" w:lineRule="auto" w:before="0" w:after="0"/>
      </w:pPr>
      <w:r>
        <w:rPr>
          <w:rFonts w:ascii="Times New Roman" w:hAnsi="Times New Roman" w:eastAsia="Times New Roman"/>
          <w:sz w:val="24"/>
        </w:rPr>
        <w:t>All extracted data, analysis code, search logs, and supplementary materials are publicly available on the OSF project page (https://osf.io/79m5j/) and the accompanying GitHub repository (https://github.com/etoki/paper, directory metaanalysis/).</w:t>
      </w:r>
    </w:p>
    <w:p>
      <w:pPr>
        <w:spacing w:line="480" w:lineRule="auto" w:before="0" w:after="0"/>
      </w:pPr>
    </w:p>
    <w:p>
      <w:pPr>
        <w:spacing w:line="480" w:lineRule="auto" w:before="0" w:after="0"/>
      </w:pPr>
      <w:r>
        <w:rPr>
          <w:rFonts w:ascii="Times New Roman" w:hAnsi="Times New Roman" w:eastAsia="Times New Roman"/>
          <w:b/>
          <w:sz w:val="24"/>
        </w:rPr>
        <w:t>Authors' contributions</w:t>
      </w:r>
    </w:p>
    <w:p>
      <w:pPr>
        <w:spacing w:line="480" w:lineRule="auto" w:before="0" w:after="0"/>
      </w:pPr>
      <w:r>
        <w:rPr>
          <w:rFonts w:ascii="Times New Roman" w:hAnsi="Times New Roman" w:eastAsia="Times New Roman"/>
          <w:sz w:val="24"/>
        </w:rPr>
        <w:t>The author (ET) conceived and designed the review, developed the search strategy and eligibility criteria, performed the database searches, conducted screening, extracted data, performed the statistical analyses, and drafted and revised the manuscript. The author approves the final version.</w:t>
      </w:r>
    </w:p>
    <w:p>
      <w:pPr>
        <w:spacing w:line="480" w:lineRule="auto" w:before="0" w:after="0"/>
      </w:pPr>
    </w:p>
    <w:p>
      <w:r>
        <w:br w:type="page"/>
      </w:r>
    </w:p>
    <w:p>
      <w:pPr>
        <w:pStyle w:val="Heading1"/>
        <w:spacing w:line="480" w:lineRule="auto" w:before="0" w:after="0"/>
      </w:pPr>
      <w:r>
        <w:t>Abstract</w:t>
      </w:r>
    </w:p>
    <w:p>
      <w:pPr>
        <w:spacing w:line="480" w:lineRule="auto" w:before="0" w:after="0"/>
      </w:pPr>
      <w:r>
        <w:rPr>
          <w:rFonts w:ascii="Times New Roman" w:hAnsi="Times New Roman" w:eastAsia="Times New Roman"/>
          <w:sz w:val="24"/>
        </w:rPr>
        <w:t>Academic achievement in online learning environments has become a central concern for post-secondary education following the global shift toward digital instruction, yet existing meta-analyses of Big Five personality traits and academic performance have pooled samples across face-to-face, blended, and online modalities without testing delivery mode as a substantive moderator. The present systematic review and meta-analysis is the first quantitative synthesis dedicated to online learning environments. The review was pre-registered on OSF Registries prior to data extraction. Following PRISMA 2020 reporting standards, correlational primary studies reporting associations between Big Five (or HEXACO) personality traits and academic achievement in fully online, blended, MOOC, synchronous online, or asynchronous online environments were identified through a structured search of multiple databases and supplementary sources. Effect sizes were pooled using random-effects meta-analysis with Restricted Maximum Likelihood estimation and Hartung-Knapp-Sidik-Jonkman confidence-interval adjustment; Fisher's z transformation was applied prior to pooling, and robust variance estimation was used to handle dependent effect sizes. Pre-specified moderator analyses examined learning modality, education level, region, era, outcome type, and personality instrument. [Results and conclusions to be finalized after the quantitative synthesis is completed. This placeholder will be replaced with concrete pooled effect sizes, heterogeneity statistics, moderator findings, and GRADE-based confidence ratings.]</w:t>
      </w:r>
    </w:p>
    <w:p>
      <w:pPr>
        <w:spacing w:line="480" w:lineRule="auto" w:before="0" w:after="0"/>
      </w:pPr>
    </w:p>
    <w:p>
      <w:pPr>
        <w:spacing w:line="480" w:lineRule="auto" w:before="0" w:after="0"/>
      </w:pPr>
      <w:r>
        <w:rPr>
          <w:rFonts w:ascii="Times New Roman" w:hAnsi="Times New Roman" w:eastAsia="Times New Roman"/>
          <w:sz w:val="24"/>
        </w:rPr>
        <w:t>Keywords: Big Five; Five-Factor Model; HEXACO; online learning; e-learning; MOOC; academic achievement; meta-analysis; systematic review; PRISMA</w:t>
      </w:r>
    </w:p>
    <w:p>
      <w:pPr>
        <w:pStyle w:val="Heading1"/>
        <w:spacing w:line="480" w:lineRule="auto" w:before="0" w:after="0"/>
      </w:pPr>
      <w:r>
        <w:t>Introduction</w:t>
      </w:r>
    </w:p>
    <w:p>
      <w:pPr>
        <w:spacing w:line="480" w:lineRule="auto" w:before="0" w:after="0"/>
        <w:ind w:firstLine="720"/>
      </w:pPr>
      <w:r>
        <w:rPr>
          <w:rFonts w:ascii="Times New Roman" w:hAnsi="Times New Roman" w:eastAsia="Times New Roman"/>
          <w:sz w:val="24"/>
        </w:rPr>
        <w:t>Academic performance in higher education has shifted dramatically in the past decade, first through the gradual adoption of learning management systems and massive open online courses, and then, abruptly, through the COVID-19 pandemic, which forced millions of students worldwide into fully online or blended learning environments. As of 2023, a substantial proportion of post-secondary instruction continues to be delivered online or in hybrid modalities, even in contexts where face-to-face teaching is again available. This structural shift raises a fundamental question: do the non-cognitive predictors of academic achievement that were established in face-to-face classrooms retain their predictive validity when instruction is mediated by technology? Personality traits, and in particular the Big Five (Five-Factor Model) dimensions of Conscientiousness, Openness to Experience, Extraversion, Agreeableness, and Neuroticism, are among the most widely studied non-cognitive predictors of academic achievement (Mammadov, 2022; Poropat, 2009). Yet the accumulated meta-analytic evidence, as reviewed below, has been produced almost entirely from samples in which delivery modality is treated as noise rather than as a substantive moderator. The present review is the first to address this gap quantitatively.</w:t>
      </w:r>
    </w:p>
    <w:p>
      <w:pPr>
        <w:pStyle w:val="Heading2"/>
        <w:spacing w:line="480" w:lineRule="auto" w:before="0" w:after="0"/>
      </w:pPr>
      <w:r>
        <w:t>Personality and Academic Achievement in Face-to-Face Contexts</w:t>
      </w:r>
    </w:p>
    <w:p>
      <w:pPr>
        <w:spacing w:line="480" w:lineRule="auto" w:before="0" w:after="0"/>
        <w:ind w:firstLine="720"/>
      </w:pPr>
      <w:r>
        <w:rPr>
          <w:rFonts w:ascii="Times New Roman" w:hAnsi="Times New Roman" w:eastAsia="Times New Roman"/>
          <w:sz w:val="24"/>
        </w:rPr>
        <w:t>Eight large-scale meta-analyses have established a robust pattern of associations between the Big Five personality traits and academic achievement. Poropat (2009), synthesizing 138 samples and over 70,000 participants, reported a corrected correlation of ρ = .22 between Conscientiousness and academic performance, with smaller but significant effects for Openness (ρ = .12) and Agreeableness (ρ = .07), and essentially null effects for Extraversion (ρ = −.01) and Neuroticism (ρ = .02). These findings were replicated and extended by McAbee and Oswald (2013; k = 57, N = 26,382; C ρ = .26) and by Vedel (2014; k = 21, N = 17,717; C ρ = .26), both restricted to tertiary education. Stajkovic, Bandura, Locke, Lee, and Sergent (2018) provided additional evidence that Conscientiousness predicts academic achievement both directly and indirectly through self-efficacy, with the self-efficacy path carrying a substantial proportion of the Conscientiousness effect (β = .24 to .33).</w:t>
      </w:r>
    </w:p>
    <w:p>
      <w:pPr>
        <w:spacing w:line="480" w:lineRule="auto" w:before="0" w:after="0"/>
        <w:ind w:firstLine="720"/>
      </w:pPr>
      <w:r>
        <w:rPr>
          <w:rFonts w:ascii="Times New Roman" w:hAnsi="Times New Roman" w:eastAsia="Times New Roman"/>
          <w:sz w:val="24"/>
        </w:rPr>
        <w:t>More recent syntheses have substantially expanded the evidence base. Mammadov (2022), in the largest meta-analysis to date (267 independent samples, N = 413,074), reported a corrected pooled correlation of ρ = .27 for Conscientiousness and ρ = .16 for Openness, and documented a striking cultural moderation effect in which Asian samples showed markedly stronger associations (C ρ = .35; A ρ = .23; N ρ = −.19). Meyer, Jansen, Hübner, and Lüdtke (2023), focusing exclusively on K-12 samples (110 samples, N = 500,218), obtained even larger estimates (C ρ = .24; O ρ = .21) and identified domain specificity as a critical moderator: Openness was substantially stronger for language than for STEM domains, while Conscientiousness effects were larger for grades than for standardized tests. This latter finding was theorized under the Personality-Achievement Saturation Hypothesis (PASH), which posits that the behavioral signals captured by Conscientiousness (e.g., on-task engagement, homework completion) are more visible to teachers assigning grades than to standardized test scorers. Zell and Lesick (2021), in a second-order synthesis of 54 meta-analyses, confirmed the stability of these effects, with academic-specific estimates of C ρ = .28 and E ρ = −.01. Most recently, Chen, Cheung, and Zeng (2025), examining 84 articles and 370 independent correlations restricted to university students with samples of at least 200 participants, reported somewhat smaller estimates (C r = .206; O r = .081; A r = .082; E r = −.009; N r = −.029), consistent with the idea that stricter methodological inclusion criteria attenuate apparent trait-performance relationships.</w:t>
      </w:r>
    </w:p>
    <w:p>
      <w:pPr>
        <w:spacing w:line="480" w:lineRule="auto" w:before="0" w:after="0"/>
        <w:ind w:firstLine="720"/>
      </w:pPr>
      <w:r>
        <w:rPr>
          <w:rFonts w:ascii="Times New Roman" w:hAnsi="Times New Roman" w:eastAsia="Times New Roman"/>
          <w:sz w:val="24"/>
        </w:rPr>
        <w:t>Across these eight meta-analyses, a convergent picture emerges: Conscientiousness is the dominant predictor of academic achievement (ρ = .19 to .28), with Openness serving as a reliable secondary predictor (ρ = .07 to .21). Agreeableness exhibits small positive effects (ρ = .04 to .10), and Extraversion and Neuroticism are generally near zero in academic contexts, although both may show meaningful directional effects under specific moderators. Critically, however, none of these eight meta-analyses has tested learning modality—online, blended, face-to-face, or MOOC—as a moderator. The samples pooled in these syntheses were drawn almost entirely from traditional classroom contexts, or from contexts in which delivery modality was not reported.</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eastAsia="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0" w:after="0"/>
      <w:outlineLvl w:val="0"/>
    </w:pPr>
    <w:rPr>
      <w:rFonts w:asciiTheme="majorHAnsi" w:eastAsiaTheme="majorEastAsia" w:hAnsiTheme="majorHAnsi" w:cstheme="majorBidi" w:ascii="Times New Roman" w:hAnsi="Times New Roman"/>
      <w:b/>
      <w:bCs/>
      <w:color w:val="000000"/>
      <w:sz w:val="24"/>
      <w:szCs w:val="28"/>
    </w:rPr>
  </w:style>
  <w:style w:type="paragraph" w:styleId="Heading2">
    <w:name w:val="heading 2"/>
    <w:basedOn w:val="Normal"/>
    <w:next w:val="Normal"/>
    <w:link w:val="Heading2Char"/>
    <w:uiPriority w:val="9"/>
    <w:unhideWhenUsed/>
    <w:qFormat/>
    <w:rsid w:val="00FC693F"/>
    <w:pPr>
      <w:keepNext/>
      <w:keepLines/>
      <w:spacing w:before="0" w:after="0"/>
      <w:outlineLvl w:val="1"/>
    </w:pPr>
    <w:rPr>
      <w:rFonts w:asciiTheme="majorHAnsi" w:eastAsiaTheme="majorEastAsia" w:hAnsiTheme="majorHAnsi" w:cstheme="majorBidi" w:ascii="Times New Roman" w:hAnsi="Times New Roman"/>
      <w:b/>
      <w:bCs/>
      <w:color w:val="000000"/>
      <w:sz w:val="24"/>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