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before="0" w:after="0"/>
        <w:jc w:val="center"/>
      </w:pPr>
    </w:p>
    <w:p>
      <w:pPr>
        <w:spacing w:line="480" w:lineRule="auto" w:before="0" w:after="0"/>
        <w:jc w:val="center"/>
      </w:pPr>
    </w:p>
    <w:p>
      <w:pPr>
        <w:spacing w:line="480" w:lineRule="auto" w:before="0" w:after="0"/>
        <w:jc w:val="center"/>
      </w:pPr>
    </w:p>
    <w:p>
      <w:pPr>
        <w:spacing w:line="480" w:lineRule="auto" w:before="0" w:after="0"/>
        <w:jc w:val="center"/>
      </w:pPr>
    </w:p>
    <w:p>
      <w:pPr>
        <w:spacing w:line="480" w:lineRule="auto" w:before="0" w:after="0"/>
        <w:jc w:val="center"/>
      </w:pPr>
      <w:r>
        <w:rPr>
          <w:rFonts w:ascii="Times New Roman" w:hAnsi="Times New Roman" w:eastAsia="Times New Roman"/>
          <w:b/>
          <w:sz w:val="24"/>
        </w:rPr>
        <w:t>Big Five Personality Traits and Academic Achievement in Online Learning Environments: A Systematic Review and Meta-Analysis</w:t>
      </w:r>
    </w:p>
    <w:p>
      <w:pPr>
        <w:spacing w:line="480" w:lineRule="auto" w:before="0" w:after="0"/>
        <w:jc w:val="center"/>
      </w:pPr>
    </w:p>
    <w:p>
      <w:pPr>
        <w:spacing w:line="480" w:lineRule="auto" w:before="0" w:after="0"/>
        <w:jc w:val="center"/>
      </w:pPr>
    </w:p>
    <w:p>
      <w:pPr>
        <w:spacing w:line="480" w:lineRule="auto" w:before="0" w:after="0"/>
        <w:jc w:val="center"/>
      </w:pPr>
      <w:r>
        <w:rPr>
          <w:rFonts w:ascii="Times New Roman" w:hAnsi="Times New Roman" w:eastAsia="Times New Roman"/>
          <w:sz w:val="24"/>
        </w:rPr>
        <w:t>Eisuke Tokiwa</w:t>
      </w:r>
    </w:p>
    <w:p>
      <w:pPr>
        <w:spacing w:line="480" w:lineRule="auto" w:before="0" w:after="0"/>
        <w:jc w:val="center"/>
      </w:pPr>
      <w:r>
        <w:rPr>
          <w:rFonts w:ascii="Times New Roman" w:hAnsi="Times New Roman" w:eastAsia="Times New Roman"/>
          <w:sz w:val="24"/>
        </w:rPr>
        <w:t>Founder of SUNBLAZE Co., Ltd.</w:t>
      </w:r>
    </w:p>
    <w:p>
      <w:pPr>
        <w:spacing w:line="480" w:lineRule="auto" w:before="0" w:after="0"/>
        <w:jc w:val="center"/>
      </w:pPr>
      <w:r>
        <w:rPr>
          <w:rFonts w:ascii="Times New Roman" w:hAnsi="Times New Roman" w:eastAsia="Times New Roman"/>
          <w:sz w:val="24"/>
        </w:rPr>
        <w:t>Tokyo, Japan</w:t>
      </w:r>
    </w:p>
    <w:p>
      <w:pPr>
        <w:spacing w:line="480" w:lineRule="auto" w:before="0" w:after="0"/>
        <w:jc w:val="center"/>
      </w:pPr>
      <w:r>
        <w:rPr>
          <w:rFonts w:ascii="Times New Roman" w:hAnsi="Times New Roman" w:eastAsia="Times New Roman"/>
          <w:sz w:val="24"/>
        </w:rPr>
        <w:t>eisuke.tokiwa@sunblaze.jp</w:t>
      </w:r>
    </w:p>
    <w:p>
      <w:pPr>
        <w:spacing w:line="480" w:lineRule="auto" w:before="0" w:after="0"/>
        <w:jc w:val="center"/>
      </w:pPr>
      <w:r>
        <w:rPr>
          <w:rFonts w:ascii="Times New Roman" w:hAnsi="Times New Roman" w:eastAsia="Times New Roman"/>
          <w:sz w:val="24"/>
        </w:rPr>
        <w:t>ORCID: 0009-0009-7124-6669</w:t>
      </w:r>
    </w:p>
    <w:p>
      <w:r>
        <w:br w:type="page"/>
      </w:r>
    </w:p>
    <w:p>
      <w:pPr>
        <w:spacing w:line="480" w:lineRule="auto" w:before="0" w:after="0"/>
      </w:pPr>
    </w:p>
    <w:p>
      <w:pPr>
        <w:spacing w:line="480" w:lineRule="auto" w:before="0" w:after="0"/>
      </w:pPr>
      <w:r>
        <w:rPr>
          <w:rFonts w:ascii="Times New Roman" w:hAnsi="Times New Roman" w:eastAsia="Times New Roman"/>
          <w:b/>
          <w:sz w:val="24"/>
        </w:rPr>
        <w:t>Declarations</w:t>
      </w:r>
    </w:p>
    <w:p>
      <w:pPr>
        <w:spacing w:line="480" w:lineRule="auto" w:before="0" w:after="0"/>
      </w:pPr>
      <w:r>
        <w:rPr>
          <w:rFonts w:ascii="Times New Roman" w:hAnsi="Times New Roman" w:eastAsia="Times New Roman"/>
          <w:b/>
          <w:sz w:val="24"/>
        </w:rPr>
        <w:t>Conflict of Interest</w:t>
      </w:r>
    </w:p>
    <w:p>
      <w:pPr>
        <w:spacing w:line="480" w:lineRule="auto" w:before="0" w:after="0"/>
      </w:pPr>
      <w:r>
        <w:rPr>
          <w:rFonts w:ascii="Times New Roman" w:hAnsi="Times New Roman" w:eastAsia="Times New Roman"/>
          <w:sz w:val="24"/>
        </w:rPr>
        <w:t>The author declares that there are no financial or personal relationships with other people or organizations that could inappropriately influence this work, except that one of the author's prior primary studies (Tokiwa, 2025) is potentially eligible for inclusion in the present meta-analysis. This conflict is addressed through a pre-specified sensitivity analysis excluding the author's own study.</w:t>
      </w:r>
    </w:p>
    <w:p>
      <w:pPr>
        <w:spacing w:line="480" w:lineRule="auto" w:before="0" w:after="0"/>
      </w:pPr>
    </w:p>
    <w:p>
      <w:pPr>
        <w:spacing w:line="480" w:lineRule="auto" w:before="0" w:after="0"/>
      </w:pPr>
      <w:r>
        <w:rPr>
          <w:rFonts w:ascii="Times New Roman" w:hAnsi="Times New Roman" w:eastAsia="Times New Roman"/>
          <w:b/>
          <w:sz w:val="24"/>
        </w:rPr>
        <w:t>Funding</w:t>
      </w:r>
    </w:p>
    <w:p>
      <w:pPr>
        <w:spacing w:line="480" w:lineRule="auto" w:before="0" w:after="0"/>
      </w:pPr>
      <w:r>
        <w:rPr>
          <w:rFonts w:ascii="Times New Roman" w:hAnsi="Times New Roman" w:eastAsia="Times New Roman"/>
          <w:sz w:val="24"/>
        </w:rPr>
        <w:t>This research did not receive any specific grant from funding agencies in the public, commercial, or not-for-profit sectors.</w:t>
      </w:r>
    </w:p>
    <w:p>
      <w:pPr>
        <w:spacing w:line="480" w:lineRule="auto" w:before="0" w:after="0"/>
      </w:pPr>
    </w:p>
    <w:p>
      <w:pPr>
        <w:spacing w:line="480" w:lineRule="auto" w:before="0" w:after="0"/>
      </w:pPr>
      <w:r>
        <w:rPr>
          <w:rFonts w:ascii="Times New Roman" w:hAnsi="Times New Roman" w:eastAsia="Times New Roman"/>
          <w:b/>
          <w:sz w:val="24"/>
        </w:rPr>
        <w:t>Ethics Approval</w:t>
      </w:r>
    </w:p>
    <w:p>
      <w:pPr>
        <w:spacing w:line="480" w:lineRule="auto" w:before="0" w:after="0"/>
      </w:pPr>
      <w:r>
        <w:rPr>
          <w:rFonts w:ascii="Times New Roman" w:hAnsi="Times New Roman" w:eastAsia="Times New Roman"/>
          <w:sz w:val="24"/>
        </w:rPr>
        <w:t>Not applicable. This meta-analysis synthesizes data from previously published studies and does not involve direct collection of data from human participants. Ethical approval for the original studies was the responsibility of the authors of those studies.</w:t>
      </w:r>
    </w:p>
    <w:p>
      <w:pPr>
        <w:spacing w:line="480" w:lineRule="auto" w:before="0" w:after="0"/>
      </w:pPr>
    </w:p>
    <w:p>
      <w:pPr>
        <w:spacing w:line="480" w:lineRule="auto" w:before="0" w:after="0"/>
      </w:pPr>
      <w:r>
        <w:rPr>
          <w:rFonts w:ascii="Times New Roman" w:hAnsi="Times New Roman" w:eastAsia="Times New Roman"/>
          <w:b/>
          <w:sz w:val="24"/>
        </w:rPr>
        <w:t>Informed Consent</w:t>
      </w:r>
    </w:p>
    <w:p>
      <w:pPr>
        <w:spacing w:line="480" w:lineRule="auto" w:before="0" w:after="0"/>
      </w:pPr>
      <w:r>
        <w:rPr>
          <w:rFonts w:ascii="Times New Roman" w:hAnsi="Times New Roman" w:eastAsia="Times New Roman"/>
          <w:sz w:val="24"/>
        </w:rPr>
        <w:t>Not applicable. All included studies obtained informed consent from their participants in accordance with institutional and journal requirements at the time of original data collection.</w:t>
      </w:r>
    </w:p>
    <w:p>
      <w:pPr>
        <w:spacing w:line="480" w:lineRule="auto" w:before="0" w:after="0"/>
      </w:pPr>
    </w:p>
    <w:p>
      <w:pPr>
        <w:spacing w:line="480" w:lineRule="auto" w:before="0" w:after="0"/>
      </w:pPr>
      <w:r>
        <w:rPr>
          <w:rFonts w:ascii="Times New Roman" w:hAnsi="Times New Roman" w:eastAsia="Times New Roman"/>
          <w:b/>
          <w:sz w:val="24"/>
        </w:rPr>
        <w:t>Pre-registration</w:t>
      </w:r>
    </w:p>
    <w:p>
      <w:pPr>
        <w:spacing w:line="480" w:lineRule="auto" w:before="0" w:after="0"/>
      </w:pPr>
      <w:r>
        <w:rPr>
          <w:rFonts w:ascii="Times New Roman" w:hAnsi="Times New Roman" w:eastAsia="Times New Roman"/>
          <w:sz w:val="24"/>
        </w:rPr>
        <w:t>This systematic review and meta-analysis was pre-registered on OSF Registries (https://osf.io/e5w47/; DOI: 10.17605/OSF.IO/E5W47) on April 23, 2026, prior to formal data extraction and quantitative synthesis. The full protocol (PRISMA-P 2015 compliant) and supplementary materials are publicly available in the associated OSF project (https://osf.io/79m5j/).</w:t>
      </w:r>
    </w:p>
    <w:p>
      <w:pPr>
        <w:spacing w:line="480" w:lineRule="auto" w:before="0" w:after="0"/>
      </w:pPr>
    </w:p>
    <w:p>
      <w:pPr>
        <w:spacing w:line="480" w:lineRule="auto" w:before="0" w:after="0"/>
      </w:pPr>
      <w:r>
        <w:rPr>
          <w:rFonts w:ascii="Times New Roman" w:hAnsi="Times New Roman" w:eastAsia="Times New Roman"/>
          <w:b/>
          <w:sz w:val="24"/>
        </w:rPr>
        <w:t>Availability of data and material</w:t>
      </w:r>
    </w:p>
    <w:p>
      <w:pPr>
        <w:spacing w:line="480" w:lineRule="auto" w:before="0" w:after="0"/>
      </w:pPr>
      <w:r>
        <w:rPr>
          <w:rFonts w:ascii="Times New Roman" w:hAnsi="Times New Roman" w:eastAsia="Times New Roman"/>
          <w:sz w:val="24"/>
        </w:rPr>
        <w:t>All extracted data, analysis code, search logs, and supplementary materials are publicly available on the OSF project page (https://osf.io/79m5j/) and the accompanying GitHub repository (https://github.com/etoki/paper, directory metaanalysis/).</w:t>
      </w:r>
    </w:p>
    <w:p>
      <w:pPr>
        <w:spacing w:line="480" w:lineRule="auto" w:before="0" w:after="0"/>
      </w:pPr>
    </w:p>
    <w:p>
      <w:pPr>
        <w:spacing w:line="480" w:lineRule="auto" w:before="0" w:after="0"/>
      </w:pPr>
      <w:r>
        <w:rPr>
          <w:rFonts w:ascii="Times New Roman" w:hAnsi="Times New Roman" w:eastAsia="Times New Roman"/>
          <w:b/>
          <w:sz w:val="24"/>
        </w:rPr>
        <w:t>Authors' contributions</w:t>
      </w:r>
    </w:p>
    <w:p>
      <w:pPr>
        <w:spacing w:line="480" w:lineRule="auto" w:before="0" w:after="0"/>
      </w:pPr>
      <w:r>
        <w:rPr>
          <w:rFonts w:ascii="Times New Roman" w:hAnsi="Times New Roman" w:eastAsia="Times New Roman"/>
          <w:sz w:val="24"/>
        </w:rPr>
        <w:t>The author (ET) conceived and designed the review, developed the search strategy and eligibility criteria, performed the database searches, conducted screening, extracted data, performed the statistical analyses, and drafted and revised the manuscript. The author approves the final version.</w:t>
      </w:r>
    </w:p>
    <w:p>
      <w:pPr>
        <w:spacing w:line="480" w:lineRule="auto" w:before="0" w:after="0"/>
      </w:pPr>
    </w:p>
    <w:p>
      <w:r>
        <w:br w:type="page"/>
      </w:r>
    </w:p>
    <w:p>
      <w:pPr>
        <w:pStyle w:val="Heading1"/>
        <w:spacing w:line="480" w:lineRule="auto" w:before="0" w:after="0"/>
      </w:pPr>
      <w:r>
        <w:t>Abstract</w:t>
      </w:r>
    </w:p>
    <w:p>
      <w:pPr>
        <w:spacing w:line="480" w:lineRule="auto" w:before="0" w:after="0"/>
      </w:pPr>
      <w:r>
        <w:rPr>
          <w:rFonts w:ascii="Times New Roman" w:hAnsi="Times New Roman" w:eastAsia="Times New Roman"/>
          <w:sz w:val="24"/>
        </w:rPr>
        <w:t>Academic achievement in online learning environments has become a central concern for post-secondary education following the global shift toward digital instruction, yet existing meta-analyses of Big Five personality traits and academic performance have pooled samples across face-to-face, blended, and online modalities without testing delivery mode as a substantive moderator. The present systematic review and meta-analysis is the first quantitative synthesis dedicated to online learning environments. The review was pre-registered on OSF Registries prior to data extraction. Following PRISMA 2020 reporting standards, correlational primary studies reporting associations between Big Five (or HEXACO) personality traits and academic achievement in fully online, blended, MOOC, synchronous online, or asynchronous online environments were identified through a structured search of multiple databases and supplementary sources. Effect sizes were pooled using random-effects meta-analysis with Restricted Maximum Likelihood estimation and Hartung-Knapp-Sidik-Jonkman confidence-interval adjustment; Fisher's z transformation was applied prior to pooling, and robust variance estimation was used to handle dependent effect sizes. Pre-specified moderator analyses examined learning modality, education level, region, era, outcome type, and personality instrument. [Results and conclusions to be finalized after the quantitative synthesis is completed. This placeholder will be replaced with concrete pooled effect sizes, heterogeneity statistics, moderator findings, and GRADE-based confidence ratings.]</w:t>
      </w:r>
    </w:p>
    <w:p>
      <w:pPr>
        <w:spacing w:line="480" w:lineRule="auto" w:before="0" w:after="0"/>
      </w:pPr>
    </w:p>
    <w:p>
      <w:pPr>
        <w:spacing w:line="480" w:lineRule="auto" w:before="0" w:after="0"/>
      </w:pPr>
      <w:r>
        <w:rPr>
          <w:rFonts w:ascii="Times New Roman" w:hAnsi="Times New Roman" w:eastAsia="Times New Roman"/>
          <w:sz w:val="24"/>
        </w:rPr>
        <w:t>Keywords: Big Five; Five-Factor Model; HEXACO; online learning; e-learning; MOOC; academic achievement; meta-analysis; systematic review; PRISMA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