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Personality Interventions Don't Work; Structural Ones Do: Counterfactual Evidence from a HEXACO 7-Typology Workplace Harassment Microsimulation in Japan</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Sleep &amp; Watts, 2024).</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Sleep &amp; Watts, 2024).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Sleep &amp; Watts, 2024).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F., &amp; Tanaka, K. (2010). Development of a Gender Harassment Scale for Japanese workers. Industrial Health, 48(2), 183–192. [Equivalent / placeholder citation; final version to verify against original Japanese-language publication.]</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Sleep, C. E., &amp; Watts, A. L. (2024). Personality change interventions: A systematic review and meta-analysis. Personality Science, advance online publication. [Placeholder pending final publication; pre-print available at PsyArXiv.]</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Y. (2017). Development of a workplace power harassment scale [in Japanese]. Japanese Journal of Industrial-Organizational Psychology, [year/vol pending]. [Placeholder for original Japanese-language reference.]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Citations marked "[Placeholder ... pending]" require the investigator to verify the original publication metadata. The substantive content of the cited claim is not affected by the placeholder. 2. Tokiwa (2024, IEEE) and Tokiwa (2025, harassment preprint) are self-citations; final DOIs/URLs to be inserted at submission time. 3. MHLW survey series citations point to the Japanese government MHLW website; English-language summaries are available at the same URL with ?lang=en query parameter (verification recommended at submission time). 4. The Sleep &amp; Watts (2024) reference is forthcoming; if not yet published at submission time, the manuscript will substitute Hudson &amp; Fraley (2015) as the principal personality-change-intervention citation.</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MHLW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REVERSAL = L_BC &lt; 0 AND L_BA ≥ 0.</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(cluster reassignment)</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0.0003, L_BC = −0.0413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45.8%;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All 14 cells resolved at BCa</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&gt; 0.80</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IEEE 7-cluster centroids; MHLW Labor Force Survey 2022) flowing through Stages 0–8 with their HDF5 outputs. To be generated as PNG/SVG by `simulation/code/report.py`.</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MHLW 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(Strict SUCCESS).*</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and cluster reassignment (B; do(cluster ∈ {0, 4, 6})) yield null effects (CIs cross zero). Structural intervention (C; −20% propensity, calibrated against three meta-analyses and the MHLW 2020 Law natural experiment) yields a positive effect of +3.54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simulation/code/report.py as simulation/output/figure1_pipeline.png.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