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left"/>
      </w:pPr>
      <w:r>
        <w:rPr>
          <w:rFonts w:ascii="Times New Roman" w:hAnsi="Times New Roman" w:eastAsia="Times New Roman"/>
          <w:b/>
          <w:sz w:val="24"/>
        </w:rPr>
        <w:t>Abstract (≈ 250 words)</w:t>
      </w:r>
    </w:p>
    <w:p>
      <w:pPr>
        <w:spacing w:line="480" w:lineRule="auto" w:before="0" w:after="0"/>
        <w:ind w:firstLine="720"/>
      </w:pPr>
      <w:r>
        <w:rPr>
          <w:rFonts w:ascii="Times New Roman" w:hAnsi="Times New Roman" w:eastAsia="Times New Roman"/>
          <w:sz w:val="24"/>
        </w:rPr>
        <w:t>Workplace harassment imposes substantial public-health and economic costs in Japan, with Ministry of Health, Labour and Welfare (MHLW) surveys documenting past-three-year power-harassment victimization rates of 32.5% (FY2016) declining to 19.3% (FY2023) following the 2020 Power Harassment Prevention Law. Whether this decline can be attributed to structural intervention, and whether person-level personality interventions could achieve comparable effects, remains an open empirical question. We pre-registered (OSF DOI 10.17605/OSF.IO/3Y54U) a 7-typology HEXACO microsimulation that emulates a target trial of three counterfactual interventions: (A) personality training that shifts Honesty-Humility, Agreeableness, and Emotionality by +0.3 SD; (B) cluster reassignment to three low-prevalence HEXACO typologies; and (C) structural reform that reduces cell-level harassment propensity by 20%, calibrated against three prior meta-analyses. Using N = 354 individual-level survey data partitioned into 14 cells (7 HEXACO typologies × 2 genders) with cell-stratified bootstrap (B = 10,000), Beta-Binomial empirical Bayes shrinkage, and four-step BCa confidence interval cascade, we report that ΔP_A = −0.0061 (95% CI [−0.0199, +0.0054]) and ΔP_B = −0.0058 (95% CI [−0.0199, +0.0056]) are both null, whereas ΔP_C = −0.0354 (95% CI [+0.0266, +0.0445]) is positive and statistically robust. The intersection-union test classifies this configuration as REVERSAL, indicating structural intervention dominance over personality intervention by approximately 5.8×. Sensitivity sweeps confirm robustness across cultural attenuation factors of 0.3–1.0 and across nine pre-registered analytic choices. We interpret HEXACO 7-typology as a stratification variable, not an intervention target, and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left"/>
      </w:pPr>
      <w:r>
        <w:rPr>
          <w:rFonts w:ascii="Times New Roman" w:hAnsi="Times New Roman" w:eastAsia="Times New Roman"/>
          <w:b/>
          <w:sz w:val="24"/>
        </w:rPr>
        <w:t>1. Introduction</w:t>
      </w:r>
    </w:p>
    <w:p>
      <w:pPr>
        <w:spacing w:line="480" w:lineRule="auto" w:before="0" w:after="0"/>
        <w:ind w:firstLine="720"/>
        <w:jc w:val="left"/>
      </w:pPr>
      <w:r>
        <w:rPr>
          <w:rFonts w:ascii="Times New Roman" w:hAnsi="Times New Roman" w:eastAsia="Times New Roman"/>
          <w:b/>
          <w:i/>
          <w:sz w:val="24"/>
        </w:rPr>
        <w:t>1.1 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厚生労働省)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(パワーハラスメント防止法),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2021). The former approach assumes that harassment is largely driven by individual disposition; the latter, that it is largely driven by environmental affordance. Despite extensive research linking personality traits to bullying and harassment (Nielsen, Glasø, &amp; Einarsen, 2017; Pilch &amp; Turska, 2015), the relative population-level efficacy of person-level versus system-level interventions has not been quantitatively compared in a counterfactually rigorous framework.</w:t>
      </w:r>
    </w:p>
    <w:p>
      <w:pPr>
        <w:spacing w:line="480" w:lineRule="auto" w:before="0" w:after="0"/>
        <w:ind w:firstLine="720"/>
        <w:jc w:val="left"/>
      </w:pPr>
      <w:r>
        <w:rPr>
          <w:rFonts w:ascii="Times New Roman" w:hAnsi="Times New Roman" w:eastAsia="Times New Roman"/>
          <w:b/>
          <w:i/>
          <w:sz w:val="24"/>
        </w:rPr>
        <w:t>1.2 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Matthiesen, Nielsen, &amp; Einarsen, 2007; Lee et al., 2013; Linton &amp; Power, 2013; Nielsen, Glasø, &amp; Einarsen, 2017). However, the magnitude of these associations is generally modest (uncorrected r typically in the range 0.10–0.30; Nielsen, Glasø, &amp; Einarsen, 2017), and recent meta-analyses suggest considerable cross-cultural heterogeneity in workplace bullying acceptability and effect sizes (Power et al., 2013, comparing six continents; Nielsen, Glasø, &amp; Einarsen,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separately published study, our research group identified seven robust HEXACO clusters in a Japanese sample of N = 13,668 (Tokiwa, 2024, IEEE; herein "the centroid study"). The seven typologies — labeled here as types 0 through 6 — span the joint distribution of HEXACO domains and provide a parsimonious taxonomy for categorizing individuals according to their personality profile. The present study leverages these IEEE-published centroids as fixed parameters for stratifying a smaller harassment-focused subsample (N = 354; Tokiwa, 2025, harassment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ind w:firstLine="720"/>
        <w:jc w:val="left"/>
      </w:pPr>
      <w:r>
        <w:rPr>
          <w:rFonts w:ascii="Times New Roman" w:hAnsi="Times New Roman" w:eastAsia="Times New Roman"/>
          <w:b/>
          <w:i/>
          <w:sz w:val="24"/>
        </w:rPr>
        <w:t>1.3 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Sleep &amp; Watts, 2024).</w:t>
      </w:r>
    </w:p>
    <w:p>
      <w:pPr>
        <w:pStyle w:val="ListBullet"/>
        <w:spacing w:line="480" w:lineRule="auto" w:before="0" w:after="0"/>
      </w:pPr>
      <w:r>
        <w:rPr>
          <w:rFonts w:ascii="Times New Roman" w:hAnsi="Times New Roman" w:eastAsia="Times New Roman"/>
          <w:sz w:val="24"/>
        </w:rPr>
        <w:t>Counterfactual B (cluster reassignment): do(cluster ∈ {0, 4, 6}). Individuals are computationally reassigned to one of three low-harassment-prevalence typologies, retaining their original HEXACO scores. This intervention represents an extreme (and arguably implausible) personality-shift scenario, included as an upper bound on what any person-level intervention could achieve.</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MacCurtain, &amp; Mannix-McNamara, 2014; Salin, 2021), as well as the empirical −12.1 percentage-point reduction observed in the MHLW survey series during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ind w:firstLine="720"/>
        <w:jc w:val="left"/>
      </w:pPr>
      <w:r>
        <w:rPr>
          <w:rFonts w:ascii="Times New Roman" w:hAnsi="Times New Roman" w:eastAsia="Times New Roman"/>
          <w:b/>
          <w:i/>
          <w:sz w:val="24"/>
        </w:rPr>
        <w:t>1.4 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MHLW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IEEE-published centroids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ind w:firstLine="720"/>
        <w:jc w:val="left"/>
      </w:pPr>
      <w:r>
        <w:rPr>
          <w:rFonts w:ascii="Times New Roman" w:hAnsi="Times New Roman" w:eastAsia="Times New Roman"/>
          <w:b/>
          <w:i/>
          <w:sz w:val="24"/>
        </w:rPr>
        <w:t>1.5 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and open data (N = 354 deposited at OSF; centroids retrieved from IEEE clustering paper supplement).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5.8×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locked 2026-05-21).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left"/>
      </w:pPr>
      <w:r>
        <w:rPr>
          <w:rFonts w:ascii="Times New Roman" w:hAnsi="Times New Roman" w:eastAsia="Times New Roman"/>
          <w:b/>
          <w:sz w:val="24"/>
        </w:rPr>
        <w:t>2.1 Data sources</w:t>
      </w:r>
    </w:p>
    <w:p>
      <w:pPr>
        <w:spacing w:line="480" w:lineRule="auto" w:before="0" w:after="0"/>
        <w:ind w:firstLine="720"/>
        <w:jc w:val="left"/>
      </w:pPr>
      <w:r>
        <w:rPr>
          <w:rFonts w:ascii="Times New Roman" w:hAnsi="Times New Roman" w:eastAsia="Times New Roman"/>
          <w:b/>
          <w:i/>
          <w:sz w:val="24"/>
        </w:rPr>
        <w:t>2.1.1 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(Section 2.5) but not in the primary analysis.</w:t>
      </w:r>
    </w:p>
    <w:p>
      <w:pPr>
        <w:pStyle w:val="ListBullet"/>
        <w:spacing w:line="480" w:lineRule="auto" w:before="0" w:after="0"/>
      </w:pPr>
      <w:r>
        <w:rPr>
          <w:rFonts w:ascii="Times New Roman" w:hAnsi="Times New Roman" w:eastAsia="Times New Roman"/>
          <w:sz w:val="24"/>
        </w:rPr>
        <w:t>Workplace Power Harassment Scale (Tou,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ind w:firstLine="720"/>
        <w:jc w:val="left"/>
      </w:pPr>
      <w:r>
        <w:rPr>
          <w:rFonts w:ascii="Times New Roman" w:hAnsi="Times New Roman" w:eastAsia="Times New Roman"/>
          <w:b/>
          <w:i/>
          <w:sz w:val="24"/>
        </w:rPr>
        <w:t>2.1.2 Cluster centroids (N = 13,668; IEEE-published,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(2024, IEEE)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ind w:firstLine="720"/>
        <w:jc w:val="left"/>
      </w:pPr>
      <w:r>
        <w:rPr>
          <w:rFonts w:ascii="Times New Roman" w:hAnsi="Times New Roman" w:eastAsia="Times New Roman"/>
          <w:b/>
          <w:i/>
          <w:sz w:val="24"/>
        </w:rPr>
        <w:t>2.1.3 Population reweighting (MHLW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MHLW Labor Force Survey Basic Tabulation 2022 Annual Average (公表元: 総務省統計局, 2023; PDF retrieved from e-Stat 2026-04-30 by the investigator and archived at `simulation/data/`). We use Table 3 (年齢階級別就業者数; employed persons by age group) restricted to 就業者 (employed persons), yielding total 6,723万人 with age × gender breakdown {15-64, 65+} × {male, female}. The resulting marginals (F = 0.4498, M = 0.5502) replace the v2.0 Stage 1 placeholder (F = 0.5, M = 0.5).</w:t>
      </w:r>
    </w:p>
    <w:p>
      <w:pPr>
        <w:spacing w:line="480" w:lineRule="auto" w:before="0" w:after="0"/>
        <w:ind w:firstLine="720"/>
        <w:jc w:val="left"/>
      </w:pPr>
      <w:r>
        <w:rPr>
          <w:rFonts w:ascii="Times New Roman" w:hAnsi="Times New Roman" w:eastAsia="Times New Roman"/>
          <w:b/>
          <w:i/>
          <w:sz w:val="24"/>
        </w:rPr>
        <w:t>2.1.4 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left"/>
      </w:pPr>
      <w:r>
        <w:rPr>
          <w:rFonts w:ascii="Times New Roman" w:hAnsi="Times New Roman" w:eastAsia="Times New Roman"/>
          <w:b/>
          <w:sz w:val="24"/>
        </w:rPr>
        <w:t>2.2 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ind w:firstLine="720"/>
        <w:jc w:val="left"/>
      </w:pPr>
      <w:r>
        <w:rPr>
          <w:rFonts w:ascii="Times New Roman" w:hAnsi="Times New Roman" w:eastAsia="Times New Roman"/>
          <w:b/>
          <w:i/>
          <w:sz w:val="24"/>
        </w:rPr>
        <w:t>2.2.1 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ind w:firstLine="720"/>
        <w:jc w:val="left"/>
      </w:pPr>
      <w:r>
        <w:rPr>
          <w:rFonts w:ascii="Times New Roman" w:hAnsi="Times New Roman" w:eastAsia="Times New Roman"/>
          <w:b/>
          <w:i/>
          <w:sz w:val="24"/>
        </w:rPr>
        <w:t>2.2.2 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IEEE-published values (M3-fixed; m8 limitation: cluster membership is not in the MHLW data); only the gender marginal is updated to the 2022 working-population value.</w:t>
      </w:r>
    </w:p>
    <w:p>
      <w:pPr>
        <w:spacing w:line="480" w:lineRule="auto" w:before="0" w:after="0"/>
        <w:ind w:firstLine="720"/>
        <w:jc w:val="left"/>
      </w:pPr>
      <w:r>
        <w:rPr>
          <w:rFonts w:ascii="Times New Roman" w:hAnsi="Times New Roman" w:eastAsia="Times New Roman"/>
          <w:b/>
          <w:i/>
          <w:sz w:val="24"/>
        </w:rPr>
        <w:t>2.2.3 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ind w:firstLine="720"/>
        <w:jc w:val="left"/>
      </w:pPr>
      <w:r>
        <w:rPr>
          <w:rFonts w:ascii="Times New Roman" w:hAnsi="Times New Roman" w:eastAsia="Times New Roman"/>
          <w:b/>
          <w:i/>
          <w:sz w:val="24"/>
        </w:rPr>
        <w:t>2.2.4 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ind w:firstLine="720"/>
        <w:jc w:val="left"/>
      </w:pPr>
      <w:r>
        <w:rPr>
          <w:rFonts w:ascii="Times New Roman" w:hAnsi="Times New Roman" w:eastAsia="Times New Roman"/>
          <w:b/>
          <w:i/>
          <w:sz w:val="24"/>
        </w:rPr>
        <w:t>2.2.5 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ind w:firstLine="720"/>
        <w:jc w:val="left"/>
      </w:pPr>
      <w:r>
        <w:rPr>
          <w:rFonts w:ascii="Times New Roman" w:hAnsi="Times New Roman" w:eastAsia="Times New Roman"/>
          <w:b/>
          <w:i/>
          <w:sz w:val="24"/>
        </w:rPr>
        <w:t>2.2.6 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ind w:firstLine="720"/>
        <w:jc w:val="left"/>
      </w:pPr>
      <w:r>
        <w:rPr>
          <w:rFonts w:ascii="Times New Roman" w:hAnsi="Times New Roman" w:eastAsia="Times New Roman"/>
          <w:b/>
          <w:i/>
          <w:sz w:val="24"/>
        </w:rPr>
        <w:t>2.2.7 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ind w:firstLine="720"/>
        <w:jc w:val="left"/>
      </w:pPr>
      <w:r>
        <w:rPr>
          <w:rFonts w:ascii="Times New Roman" w:hAnsi="Times New Roman" w:eastAsia="Times New Roman"/>
          <w:b/>
          <w:i/>
          <w:sz w:val="24"/>
        </w:rPr>
        <w:t>2.2.8 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reassigns each individual to one of the three pre-registered low-prevalence target clusters {0, 4, 6}, retaining their original HEXACO scores and re-computing positivity in the same fashion.</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MacCurtain, &amp; Mannix-McNamara, 2014; Salin, 2021) and the MHLW 2020-2023 natural experiment (−12.1pp ≈ −37%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as:</w:t>
      </w:r>
    </w:p>
    <w:p>
      <w:pPr>
        <w:pStyle w:val="ListBullet"/>
        <w:spacing w:line="480" w:lineRule="auto" w:before="0" w:after="0"/>
      </w:pPr>
      <w:r>
        <w:rPr>
          <w:rFonts w:ascii="Times New Roman" w:hAnsi="Times New Roman" w:eastAsia="Times New Roman"/>
          <w:sz w:val="24"/>
        </w:rPr>
        <w:t>CONFIRMED: L_BA &gt; 0 AND L_BC &gt; 0 (B dominates both A and C);</w:t>
      </w:r>
    </w:p>
    <w:p>
      <w:pPr>
        <w:pStyle w:val="ListBullet"/>
        <w:spacing w:line="480" w:lineRule="auto" w:before="0" w:after="0"/>
      </w:pPr>
      <w:r>
        <w:rPr>
          <w:rFonts w:ascii="Times New Roman" w:hAnsi="Times New Roman" w:eastAsia="Times New Roman"/>
          <w:sz w:val="24"/>
        </w:rPr>
        <w:t>REVERSAL: L_BC &lt; 0 AND L_BA ≥ 0 (C dominates B);</w:t>
      </w:r>
    </w:p>
    <w:p>
      <w:pPr>
        <w:pStyle w:val="ListBullet"/>
        <w:spacing w:line="480" w:lineRule="auto" w:before="0" w:after="0"/>
      </w:pPr>
      <w:r>
        <w:rPr>
          <w:rFonts w:ascii="Times New Roman" w:hAnsi="Times New Roman" w:eastAsia="Times New Roman"/>
          <w:sz w:val="24"/>
        </w:rPr>
        <w:t>PARTIAL: one of L_BA, L_BC &gt; 0 but not both;</w:t>
      </w:r>
    </w:p>
    <w:p>
      <w:pPr>
        <w:pStyle w:val="ListBullet"/>
        <w:spacing w:line="480" w:lineRule="auto" w:before="0" w:after="0"/>
      </w:pPr>
      <w:r>
        <w:rPr>
          <w:rFonts w:ascii="Times New Roman" w:hAnsi="Times New Roman" w:eastAsia="Times New Roman"/>
          <w:sz w:val="24"/>
        </w:rPr>
        <w:t>AMBIGUOUS: neither condition met.</w:t>
      </w:r>
    </w:p>
    <w:p>
      <w:pPr>
        <w:spacing w:line="480" w:lineRule="auto" w:before="0" w:after="0"/>
        <w:ind w:firstLine="720"/>
        <w:jc w:val="left"/>
      </w:pPr>
      <w:r>
        <w:rPr>
          <w:rFonts w:ascii="Times New Roman" w:hAnsi="Times New Roman" w:eastAsia="Times New Roman"/>
          <w:b/>
          <w:i/>
          <w:sz w:val="24"/>
        </w:rPr>
        <w:t>2.2.9 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Glasø, and Einarsen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left"/>
      </w:pPr>
      <w:r>
        <w:rPr>
          <w:rFonts w:ascii="Times New Roman" w:hAnsi="Times New Roman" w:eastAsia="Times New Roman"/>
          <w:b/>
          <w:sz w:val="24"/>
        </w:rPr>
        <w:t>2.3 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47-test pytest suite (extended to 56 with the MHLW loader tests upon Phase 1 activation) guards against regression in core utilities.</w:t>
      </w:r>
    </w:p>
    <w:p>
      <w:pPr>
        <w:spacing w:line="480" w:lineRule="auto" w:before="0" w:after="0"/>
        <w:jc w:val="left"/>
      </w:pPr>
      <w:r>
        <w:rPr>
          <w:rFonts w:ascii="Times New Roman" w:hAnsi="Times New Roman" w:eastAsia="Times New Roman"/>
          <w:b/>
          <w:sz w:val="24"/>
        </w:rPr>
        <w:t>2.4 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r>
        <w:br w:type="page"/>
      </w:r>
    </w:p>
    <w:p>
      <w:pPr>
        <w:spacing w:line="480" w:lineRule="auto" w:before="0" w:after="0"/>
        <w:jc w:val="left"/>
      </w:pPr>
      <w:r>
        <w:rPr>
          <w:rFonts w:ascii="Times New Roman" w:hAnsi="Times New Roman" w:eastAsia="Times New Roman"/>
          <w:b/>
          <w:sz w:val="24"/>
        </w:rPr>
        <w:t>3.1 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IEEE-published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(Methods §2.2.1). Of the 14 cells, all were resolved at the BCa stage (no cells required the BC, percentile, or Clopper-Pearson fallbacks), confirming that the v2.0 master Section 5.1 primary BCa procedure operates as designed for the realized data structure.</w:t>
      </w:r>
    </w:p>
    <w:p>
      <w:pPr>
        <w:spacing w:line="480" w:lineRule="auto" w:before="0" w:after="0"/>
        <w:jc w:val="left"/>
      </w:pPr>
      <w:r>
        <w:rPr>
          <w:rFonts w:ascii="Times New Roman" w:hAnsi="Times New Roman" w:eastAsia="Times New Roman"/>
          <w:b/>
          <w:sz w:val="24"/>
        </w:rPr>
        <w:t>3.2 National prevalence and H1 four-tier classification (Stages 1–2)</w:t>
      </w:r>
    </w:p>
    <w:p>
      <w:pPr>
        <w:spacing w:line="480" w:lineRule="auto" w:before="0" w:after="0"/>
        <w:ind w:firstLine="720"/>
      </w:pPr>
      <w:r>
        <w:rPr>
          <w:rFonts w:ascii="Times New Roman" w:hAnsi="Times New Roman" w:eastAsia="Times New Roman"/>
          <w:sz w:val="24"/>
        </w:rPr>
        <w:t>After re-weighting with MHLW Labor Force Survey 2022 marginals (F = 0.4498, M = 0.5502; total 6,723 万人 employed),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Strict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**Strict SUCCESS** with a point MAPE of 9.65% and a 95% CI upper bound of 31.52%. Interpretation of this temporal heterogeneity is deferred to the Discussion (Section 4.1).</w:t>
      </w:r>
    </w:p>
    <w:p>
      <w:pPr>
        <w:spacing w:line="480" w:lineRule="auto" w:before="0" w:after="0"/>
        <w:jc w:val="left"/>
      </w:pPr>
      <w:r>
        <w:rPr>
          <w:rFonts w:ascii="Times New Roman" w:hAnsi="Times New Roman" w:eastAsia="Times New Roman"/>
          <w:b/>
          <w:sz w:val="24"/>
        </w:rPr>
        <w:t>3.3 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IEEE-published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left"/>
      </w:pPr>
      <w:r>
        <w:rPr>
          <w:rFonts w:ascii="Times New Roman" w:hAnsi="Times New Roman" w:eastAsia="Times New Roman"/>
          <w:b/>
          <w:sz w:val="24"/>
        </w:rPr>
        <w:t>3.4 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 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45.35%</w:t>
            </w:r>
          </w:p>
        </w:tc>
        <w:tc>
          <w:tcPr>
            <w:tcW w:type="dxa" w:w="2340"/>
          </w:tcPr>
          <w:p>
            <w:r>
              <w:rPr>
                <w:rFonts w:ascii="Times New Roman" w:hAnsi="Times New Roman" w:eastAsia="Times New Roman"/>
                <w:b w:val="0"/>
                <w:sz w:val="22"/>
              </w:rPr>
              <w:t>[45.4, 45.4]</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44.24%</w:t>
            </w:r>
          </w:p>
        </w:tc>
        <w:tc>
          <w:tcPr>
            <w:tcW w:type="dxa" w:w="2340"/>
          </w:tcPr>
          <w:p>
            <w:r>
              <w:rPr>
                <w:rFonts w:ascii="Times New Roman" w:hAnsi="Times New Roman" w:eastAsia="Times New Roman"/>
                <w:b w:val="0"/>
                <w:sz w:val="22"/>
              </w:rPr>
              <w:t>[40.6, 47.7]</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45.51%</w:t>
            </w:r>
          </w:p>
        </w:tc>
        <w:tc>
          <w:tcPr>
            <w:tcW w:type="dxa" w:w="2340"/>
          </w:tcPr>
          <w:p>
            <w:r>
              <w:rPr>
                <w:rFonts w:ascii="Times New Roman" w:hAnsi="Times New Roman" w:eastAsia="Times New Roman"/>
                <w:b w:val="0"/>
                <w:sz w:val="22"/>
              </w:rPr>
              <w:t>[45.5, 45.5]</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46.30%</w:t>
            </w:r>
          </w:p>
        </w:tc>
        <w:tc>
          <w:tcPr>
            <w:tcW w:type="dxa" w:w="2340"/>
          </w:tcPr>
          <w:p>
            <w:r>
              <w:rPr>
                <w:rFonts w:ascii="Times New Roman" w:hAnsi="Times New Roman" w:eastAsia="Times New Roman"/>
                <w:b w:val="0"/>
                <w:sz w:val="22"/>
              </w:rPr>
              <w:t>[44.2, 48.5]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left"/>
      </w:pPr>
      <w:r>
        <w:rPr>
          <w:rFonts w:ascii="Times New Roman" w:hAnsi="Times New Roman" w:eastAsia="Times New Roman"/>
          <w:b/>
          <w:sz w:val="24"/>
        </w:rPr>
        <w:t>3.5 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left"/>
      </w:pPr>
      <w:r>
        <w:rPr>
          <w:rFonts w:ascii="Times New Roman" w:hAnsi="Times New Roman" w:eastAsia="Times New Roman"/>
          <w:b/>
          <w:sz w:val="24"/>
        </w:rPr>
        <w:t>3.6 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[−0.0199, +0.0054]</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do(cluster ∈ {0, 4, 6})</w:t>
            </w:r>
          </w:p>
        </w:tc>
        <w:tc>
          <w:tcPr>
            <w:tcW w:type="dxa" w:w="1872"/>
          </w:tcPr>
          <w:p>
            <w:r>
              <w:rPr>
                <w:rFonts w:ascii="Times New Roman" w:hAnsi="Times New Roman" w:eastAsia="Times New Roman"/>
                <w:b w:val="0"/>
                <w:sz w:val="22"/>
              </w:rPr>
              <w:t>−0.0058</w:t>
            </w:r>
          </w:p>
        </w:tc>
        <w:tc>
          <w:tcPr>
            <w:tcW w:type="dxa" w:w="1872"/>
          </w:tcPr>
          <w:p>
            <w:r>
              <w:rPr>
                <w:rFonts w:ascii="Times New Roman" w:hAnsi="Times New Roman" w:eastAsia="Times New Roman"/>
                <w:b w:val="0"/>
                <w:sz w:val="22"/>
              </w:rPr>
              <w:t>[−0.0199, +0.0056]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[+0.0266, +0.0445]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0.0003 and L_BC = −0.0413 with the configuration L_BA ≥ 0 AND L_BC &lt; 0, classifying H7 as **REVERSAL**.</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personality intervention (Counterfactual A) and the cluster reassignment intervention (Counterfactual B) by a large margin. Numerically, |ΔP_C| / |ΔP_A| ≈ 5.8.</w:t>
      </w:r>
    </w:p>
    <w:p>
      <w:pPr>
        <w:spacing w:line="480" w:lineRule="auto" w:before="0" w:after="0"/>
        <w:ind w:firstLine="720"/>
      </w:pPr>
      <w:r>
        <w:rPr>
          <w:rFonts w:ascii="Times New Roman" w:hAnsi="Times New Roman" w:eastAsia="Times New Roman"/>
          <w:sz w:val="24"/>
        </w:rPr>
        <w:t>**Positivity diagnostic.** Counterfactual A and Counterfactual B trivially preserve positivity (ρ ≡ 1 by construction; per Methods Clarification m5). Counterfactual B's cell positivity ratio ρ_{c, B} was 45.8% flagged (i.e., 45.8%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left"/>
      </w:pPr>
      <w:r>
        <w:rPr>
          <w:rFonts w:ascii="Times New Roman" w:hAnsi="Times New Roman" w:eastAsia="Times New Roman"/>
          <w:b/>
          <w:sz w:val="24"/>
        </w:rPr>
        <w:t>3.7 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+0.0106</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Glasø, &amp; Einarsen 2017 expected</w:t>
            </w:r>
          </w:p>
        </w:tc>
        <w:tc>
          <w:tcPr>
            <w:tcW w:type="dxa" w:w="1872"/>
          </w:tcPr>
          <w:p>
            <w:r>
              <w:rPr>
                <w:rFonts w:ascii="Times New Roman" w:hAnsi="Times New Roman" w:eastAsia="Times New Roman"/>
                <w:b w:val="0"/>
                <w:sz w:val="22"/>
              </w:rPr>
              <w:t>−0.0030</w:t>
            </w:r>
          </w:p>
        </w:tc>
        <w:tc>
          <w:tcPr>
            <w:tcW w:type="dxa" w:w="1872"/>
          </w:tcPr>
          <w:p>
            <w:r>
              <w:rPr>
                <w:rFonts w:ascii="Times New Roman" w:hAnsi="Times New Roman" w:eastAsia="Times New Roman"/>
                <w:b w:val="0"/>
                <w:sz w:val="22"/>
              </w:rPr>
              <w:t>+0.0177</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−0.0042</w:t>
            </w:r>
          </w:p>
        </w:tc>
        <w:tc>
          <w:tcPr>
            <w:tcW w:type="dxa" w:w="1872"/>
          </w:tcPr>
          <w:p>
            <w:r>
              <w:rPr>
                <w:rFonts w:ascii="Times New Roman" w:hAnsi="Times New Roman" w:eastAsia="Times New Roman"/>
                <w:b w:val="0"/>
                <w:sz w:val="22"/>
              </w:rPr>
              <w:t>+0.0248</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left"/>
      </w:pPr>
      <w:r>
        <w:rPr>
          <w:rFonts w:ascii="Times New Roman" w:hAnsi="Times New Roman" w:eastAsia="Times New Roman"/>
          <w:b/>
          <w:sz w:val="24"/>
        </w:rPr>
        <w:t>3.8 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2024 IEEE)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All 14 cells resolved at BCa stage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High concordance (Spearman ρ &gt; 0.80; computed in supplementary)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left"/>
      </w:pPr>
      <w:r>
        <w:rPr>
          <w:rFonts w:ascii="Times New Roman" w:hAnsi="Times New Roman" w:eastAsia="Times New Roman"/>
          <w:b/>
          <w:sz w:val="24"/>
        </w:rPr>
        <w:t>4.1 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MHLW 2022 working-population reweighting) attains MAPE = 9.65% against the FY2023 (post-law) target — a Strict SUCCESS classification — but only PARTIAL SUCCESS against the FY2016 (pre-law) target (MAPE = 46.34%). A literal reading is that our HEXACO 7-typology × MHLW-reweighted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(L_BA ≥ 0, L_BC &lt; 0), indicating that the cell-level structural intervention (Counterfactual C; −20% propensity, calibrated against three meta-analyses and one natural experiment) outperforms both personality intervention (Counterfactual A; +0.3 SD on H/A/E) and cluster reassignment (Counterfactual B; do(cluster ∈ {0, 4, 6})) by a substantial margin. The numerical ratio |ΔP_C| / |ΔP_A| ≈ 5.8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5.8×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(2021), Escartín (2016), and Hodgins, MacCurtain, and Mannix-McNamara (2014), is supported by both prior literature and the present counterfactual analysis.</w:t>
      </w:r>
    </w:p>
    <w:p>
      <w:pPr>
        <w:spacing w:line="480" w:lineRule="auto" w:before="0" w:after="0"/>
        <w:jc w:val="left"/>
      </w:pPr>
      <w:r>
        <w:rPr>
          <w:rFonts w:ascii="Times New Roman" w:hAnsi="Times New Roman" w:eastAsia="Times New Roman"/>
          <w:b/>
          <w:sz w:val="24"/>
        </w:rPr>
        <w:t>4.2 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left"/>
      </w:pPr>
      <w:r>
        <w:rPr>
          <w:rFonts w:ascii="Times New Roman" w:hAnsi="Times New Roman" w:eastAsia="Times New Roman"/>
          <w:b/>
          <w:sz w:val="24"/>
        </w:rPr>
        <w:t>4.3 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Sleep &amp; Watts, 2024). Our simulation demonstrates that this upper-bound shift translates to a population-level prevalence change of −0.6 percentage points — far smaller than the ±2 pp variation already present in MHLW year-on-year sampling noise, and ~6×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left"/>
      </w:pPr>
      <w:r>
        <w:rPr>
          <w:rFonts w:ascii="Times New Roman" w:hAnsi="Times New Roman" w:eastAsia="Times New Roman"/>
          <w:b/>
          <w:sz w:val="24"/>
        </w:rPr>
        <w:t>4.4 Limitations</w:t>
      </w:r>
    </w:p>
    <w:p>
      <w:pPr>
        <w:spacing w:line="480" w:lineRule="auto" w:before="0" w:after="0"/>
        <w:ind w:firstLine="720"/>
        <w:jc w:val="left"/>
      </w:pPr>
      <w:r>
        <w:rPr>
          <w:rFonts w:ascii="Times New Roman" w:hAnsi="Times New Roman" w:eastAsia="Times New Roman"/>
          <w:b/>
          <w:i/>
          <w:sz w:val="24"/>
        </w:rPr>
        <w:t>4.4.1 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MacCurtain, &amp; Mannix-McNamara, 2014; calibrated against MHLW 2020 Law natural experiment) into the same population-level prevalence metric used for the personality intervention (calibrated against Hudson &amp; Fraley, 2015; Sleep &amp; Watts, 2024).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ind w:firstLine="720"/>
        <w:jc w:val="left"/>
      </w:pPr>
      <w:r>
        <w:rPr>
          <w:rFonts w:ascii="Times New Roman" w:hAnsi="Times New Roman" w:eastAsia="Times New Roman"/>
          <w:b/>
          <w:i/>
          <w:sz w:val="24"/>
        </w:rPr>
        <w:t>4.4.2 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ind w:firstLine="720"/>
        <w:jc w:val="left"/>
      </w:pPr>
      <w:r>
        <w:rPr>
          <w:rFonts w:ascii="Times New Roman" w:hAnsi="Times New Roman" w:eastAsia="Times New Roman"/>
          <w:b/>
          <w:i/>
          <w:sz w:val="24"/>
        </w:rPr>
        <w:t>4.4.3 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ind w:firstLine="720"/>
        <w:jc w:val="left"/>
      </w:pPr>
      <w:r>
        <w:rPr>
          <w:rFonts w:ascii="Times New Roman" w:hAnsi="Times New Roman" w:eastAsia="Times New Roman"/>
          <w:b/>
          <w:i/>
          <w:sz w:val="24"/>
        </w:rPr>
        <w:t>4.4.4 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ind w:firstLine="720"/>
        <w:jc w:val="left"/>
      </w:pPr>
      <w:r>
        <w:rPr>
          <w:rFonts w:ascii="Times New Roman" w:hAnsi="Times New Roman" w:eastAsia="Times New Roman"/>
          <w:b/>
          <w:i/>
          <w:sz w:val="24"/>
        </w:rPr>
        <w:t>4.4.5 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IEEE-published values for N = 13,668; only the gender marginal is updated to the MHLW 2022 working-population value. This is a conscious limitation: the MHLW Labor Force Survey does not capture HEXACO cluster membership, so the cluster proportions cannot be updated. The OAT sensitivity sweep over cluster mass shifts (Section 3.3)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ind w:firstLine="720"/>
        <w:jc w:val="left"/>
      </w:pPr>
      <w:r>
        <w:rPr>
          <w:rFonts w:ascii="Times New Roman" w:hAnsi="Times New Roman" w:eastAsia="Times New Roman"/>
          <w:b/>
          <w:i/>
          <w:sz w:val="24"/>
        </w:rPr>
        <w:t>4.4.6 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(Section 3.3)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left"/>
      </w:pPr>
      <w:r>
        <w:rPr>
          <w:rFonts w:ascii="Times New Roman" w:hAnsi="Times New Roman" w:eastAsia="Times New Roman"/>
          <w:b/>
          <w:sz w:val="24"/>
        </w:rPr>
        <w:t>4.5 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6×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left"/>
      </w:pPr>
      <w:r>
        <w:rPr>
          <w:rFonts w:ascii="Times New Roman" w:hAnsi="Times New Roman" w:eastAsia="Times New Roman"/>
          <w:b/>
          <w:sz w:val="24"/>
        </w:rPr>
        <w:t>4.6 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+0.0354, CI excludes zero), corroborated by the H7 IUT classification of REVERSAL across all four pre-registered cultural attenuation factors, support the conclusion that *structural interventions translate to approximately 5.8×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F., &amp; Tanaka, K. (2010). Development of a Gender Harassment Scale for Japanese workers. Industrial Health, 48(2), 183–192. [Equivalent / placeholder citation; final version to verify against original Japanese-language publication.]</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[in Japanese: 平成28年度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[in Japanese: 令和2年度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[in Japanese: 令和5年度 職場のハラスメントに関する実態調査].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Sleep, C. E., &amp; Watts, A. L. (2024). Personality change interventions: A systematic review and meta-analysis. Personality Science, advance online publication. [Placeholder pending final publication; pre-print available at PsyArXiv.]</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[in Japanese: 労働力調査（基本集計）2022年（令和４年）平均結果の要約]. Tokyo: Statistics Bureau. Retrieved 2026-04-30 from https://www.e-stat.go.jp/</w:t>
      </w:r>
    </w:p>
    <w:p>
      <w:pPr>
        <w:spacing w:line="480" w:lineRule="auto" w:before="0" w:after="0"/>
        <w:ind w:left="720" w:hanging="720"/>
      </w:pPr>
      <w:r>
        <w:rPr>
          <w:rFonts w:ascii="Times New Roman" w:hAnsi="Times New Roman" w:eastAsia="Times New Roman"/>
          <w:sz w:val="24"/>
        </w:rPr>
        <w:t>Tokiwa, E. (2024). HEXACO-based 7-cluster typology of Japanese personality structure (N = 13,668) [Conference paper]. IEEE [conference name pending citation verification]. [Citation requires final journal/proceedings reference.]</w:t>
      </w:r>
    </w:p>
    <w:p>
      <w:pPr>
        <w:spacing w:line="480" w:lineRule="auto" w:before="0" w:after="0"/>
        <w:ind w:left="720" w:hanging="720"/>
      </w:pPr>
      <w:r>
        <w:rPr>
          <w:rFonts w:ascii="Times New Roman" w:hAnsi="Times New Roman" w:eastAsia="Times New Roman"/>
          <w:sz w:val="24"/>
        </w:rPr>
        <w:t>Tokiwa, E. (2025). Workplace harassment in Japan: A HEXACO and Dark Triad multivariate study (N = 354) [Manuscript in preparation / OSF preprint]. SUNBLAZE Co., Ltd. [Pre-print location pending.]</w:t>
      </w:r>
    </w:p>
    <w:p>
      <w:pPr>
        <w:spacing w:line="480" w:lineRule="auto" w:before="0" w:after="0"/>
        <w:ind w:left="720" w:hanging="720"/>
      </w:pPr>
      <w:r>
        <w:rPr>
          <w:rFonts w:ascii="Times New Roman" w:hAnsi="Times New Roman" w:eastAsia="Times New Roman"/>
          <w:sz w:val="24"/>
        </w:rPr>
        <w:t>Tou, Y. (2017). Development of a workplace power harassment scale [in Japanese]. Japanese Journal of Industrial-Organizational Psychology, [year/vol pending]. [Placeholder for original Japanese-language reference.]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left"/>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Citations marked "[Placeholder ... pending]" require the investigator to verify the original publication metadata. The substantive content of the cited claim is not affected by the placeholder. 2. Tokiwa (2024, IEEE) and Tokiwa (2025, harassment preprint) are self-citations; final DOIs/URLs to be inserted at submission time. 3. MHLW survey series citations point to the Japanese government MHLW website; English-language summaries are available at the same URL with ?lang=en query parameter (verification recommended at submission time). 4. The Sleep &amp; Watts (2024) reference is forthcoming; if not yet published at submission time, the manuscript will substitute Hudson &amp; Fraley (2015) as the principal personality-change-intervention citation.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