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Personality Interventions Don't Work; Structural Ones Do: Counterfactual Evidence from a HEXACO 7-Typology Workplace Harassment Microsimulation in Japan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Figures (captions)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1. Pipeline Schematic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box-and-arrow diagram of the nine pre-registered pipeline stages, showing the data inputs (N=354 individual data; IEEE 7-cluster centroids; MHLW Labor Force Survey 2022) flowing through Stages 0–8 with their HDF5 outputs. To be generated as PNG/SVG by `simulation/code/report.py`.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*The HEXACO 7-typology workplace harassment microsimulation pipeline. Stage 0 (cell propensity) feeds into Stage 1 (population aggregation, MHLW reweighted) and Stage 2 (H1 four-tier classification). Stage 3 (sensitivity), Stage 4 (baselines), Stage 5 (CMV diagnostic), Stage 6 (target trial PICO), Stage 7 (counterfactuals + H7 IUT), and Stage 8 (transportability) operate in parallel after Stage 2.*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2. 14-Cell Cell-Level Propensity (Stage 0)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heatmap of P̂_c across 7 HEXACO clusters × 2 genders, with cell sizes overlaid. Cell ordering follows the v2.0 master Section 5.1 convention (cluster × 2 + gender index).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*Per-cell power-harassment victimization propensities P̂_c with 95% BCa CIs. Cell sizes (N_c) range from 10 to 70 (median 18). Color encodes propensity (blue = low; red = high). Cells with N_c &lt; 20 are demarcated with a dashed boundary.*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3. National Prevalence vs MHLW Validation Targets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bar chart of model-predicted P̂ = 0.1744 (single bar) overlaid with the three MHLW validation targets (FY2016 = 0.325, FY2020 = 0.314, FY2023 = 0.193) as horizontal reference lines, with the staged enforcement period of the 2020 Power Harassment Prevention Law shaded.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*Model-based national prevalence (P̂ = 17.44%, blue bar) compared with MHLW past-three-year power-harassment victimization targets across three survey periods. The 2020 Power Harassment Prevention Law's staged enforcement (large enterprises 2020-06; SMEs 2022-04) coincides with the FY2020 → FY2023 decline. Predicted prevalence aligns most closely with the post-law FY2023 target (Strict SUCCESS).*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4. OAT Sensitivity Tornado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tornado plot with parameter families on the y-axis and MAPE_FY2016 horizontal bars on the x-axis, ordered by sensitivity magnitude. The two sensitive families (binarization, cluster mass) appear at the top with wide bars; the two stable families (soft τ, EB scale) appear at the bottom with narrow bars. The locked main configuration is marked with a vertical reference line.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*One-at-a-time sensitivity sweep of FY2016 MAPE. Binarization threshold and cluster mass shift exhibit substantial sensitivity (range 29.6% to 56.5%), whereas soft-assignment τ and empirical Bayes shrinkage scale exhibit negligible sensitivity (range &lt; 0.5%). Vertical line at 45.51% marks the locked v2.0 main configuration.*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5. Counterfactual ΔP_x Forest Plot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forest plot with three counterfactuals on the y-axis (A, B, C), point estimates with 95% CIs as horizontal whiskers, and a vertical reference line at ΔP = 0. Counterfactuals A and B's CIs overlap zero; Counterfactual C's CI excludes zero on the positive side.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*Counterfactual ΔP_x estimates and 95% CIs. Personality intervention (A; +0.3 SD on H/A/E) and cluster reassignment (B; do(cluster ∈ {0, 4, 6})) yield null effects (CIs cross zero). Structural intervention (C; −20% propensity, calibrated against three meta-analyses and the MHLW 2020 Law natural experiment) yields a positive effect of +3.54 percentage points (CI excludes zero on the positive side). The H7 intersection-union test (Berger &amp; Hsu, 1996) classifies this configuration as REVERSAL.*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Figure 6. Transportability Robustness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line plot with cultural attenuation factor F on the x-axis (0.3 to 1.0) and ΔP_x on the y-axis. Three lines for ΔP_A, ΔP_B, ΔP_C, with 95% CIs as shaded bands. The ΔP_C line remains above zero across the entire factor range; the ΔP_A and ΔP_B lines remain centered on zero.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**Caption.** *H7 IUT classification under cultural attenuation factors F ∈ {0.3, 0.5, 0.7, 1.0}. The REVERSAL classification (structural dominance) is preserved across all four factors, including the conservative cross-cultural worst-case anchor (F = 0.3) and the Nielsen, Glasø, and Einarsen (2017) Asia/Oceania expected attenuation (F = 0.5).*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