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z scale. Ten studies (pooled N = 3,384) contributed direct Pearson correlations to the primary achievement pool. Conscientiousness emerged as the strongest positive predictor (pooled r = .167, 95% CI [.089, .243]; I² = 65.1%), followed by Agreeableness (r = .112 [−.031, .250]), Openness (r = .086 [−.044, .214]), Neuroticism (r = .018 [−.079, .114]), and Extraversion (r = .002 [−.076, .080]). Two pre-registered moderator effects were highly significant: Extraversion × Region (Asian samples r = −.131 vs. non-Asian r = .050; Q_between = 46.43, p &lt; .001) and Extraversion × Outcome Type (objective r = −.038 vs. self-rated r = .117; Q_between = 17.30, p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k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(k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(r range = .068 to .49), TIPI-J (r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N &gt; 500 (Wang 2023 N = 1,625; Yu 2021 N = 1,152; Alkış &amp; Temizel 2018 N = 316 online subset; Bahçekapılı &amp; Karaman 2020 N = 525; Kaspar et al. 2023 N = 413; Quigley et al. 2022 N = 301; Rodrigues et al. 2024 N = 260; Zheng &amp; Zheng 2023 N = 282) produced smaller pooled Conscientiousness estimates (r ≈ .10) than studies with N &lt; 200 (r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N = 3,384), the pooled correlation between Conscientiousness and online academic achievement was r = .167 (95% CI [.089, .243]). Comparable estimates were obtained for Openness (r = .086 [−.044, .214]), Agreeableness (r = .112 [−.031, .250]), Neuroticism (r = .018 [−.079, .114]), and Extraversion (r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ρ of .20–.28, and Agreeableness showed a slightly larger effect than in face-to-face samples, driven by Chinese and Middle Eastern studies. Two pre-registered moderator effects were highly significant: Extraversion × Region (Q_between = 46.43, p &lt; .001), with Asian samples showing r = −.131 vs. non-Asian r = .050, and Extraversion × Outcome Type (Q_between = 17.30, p &lt; .001), with objective outcomes showing r = −.038 vs. self-rated r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ρ = .22), McAbee and Oswald (2013; ρ = .26), Vedel (2014; ρ = .26), Mammadov (2022; ρ = .27), and Chen et al. (2025; r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.086) was the third-largest positive effect in the present synthesis, surpassed by both Conscientiousness (r = .167) and Agreeableness (r = .112). The 95% confidence interval crossed zero, and the estimate was comparable to the face-to-face benchmark of Mammadov (2022; ρ = .16) but substantially below the K-12 estimate of Meyer et al. (2023; ρ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β = .442; A-26 Wang et al., 2023, β to engagement = .112) and by Israeli samples (A-12 Baruth &amp; Cohen, 2022/2023, ρ = .458 with satisfaction). These findings converge with Mammadov's (2022) Asian-sample amplification pattern and with Chen et al.'s (2025) cultural-moderation findings. The region moderator analysis (Asia r = .330 vs. non-Asia r = .030) was directionally consistent with this interpretation but did not reach statistical significance (Q_between = 2.17, p = .140), owing to the small Asian subsample (k = 2).</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.018, approximately null. H4, which predicted a negative pooled effect, is not supported by the primary analysis. Notably, the β-excluded sensitivity analysis (restricting the pool to studies with direct Pearson r) shifted the pooled Neuroticism estimate to r = −.043, partial directional support for H4 under the stricter analytic specification. The discrepancy between the primary and sensitivity analyses suggests that Peterson-Brown-converted β studies (principally Yu, 2021; Wang et al., 2023; Kaspar et al., 2023; Mustafa et al., 2022) systematically attenuate the Neuroticism effect, potentially because these studies control for multiple covariates in the β coefficients, diluting the zero-order Neuroticism-outcome association.</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r = −.131 (95% CI [−.314, .061]; Q_between = 46.43, p &lt; .001), and in objective achievement outcomes the pooled effect was r = −.038 (Q_between = 17.30, p &lt; .001 against self-rated r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(r = .167 vs. face-to-face ρ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(2021) for second-order meta-analyses. Further replication with larger k is warranted before attributing this attenuation exclusively to the PASH mechanism.</w:t>
      </w:r>
    </w:p>
    <w:p>
      <w:pPr>
        <w:spacing w:line="480" w:lineRule="auto" w:before="0" w:after="0"/>
        <w:ind w:firstLine="720"/>
      </w:pPr>
      <w:r>
        <w:rPr>
          <w:rFonts w:ascii="Times New Roman" w:hAnsi="Times New Roman" w:eastAsia="Times New Roman"/>
          <w:sz w:val="24"/>
        </w:rPr>
        <w:t>Second, the null pooled Extraversion effect in online environments, combined with the highly significant region × Extraversion moderator (Asia r = −.131 vs. non-Asia r = .050; p &lt; .001) and outcome-type × Extraversion moderator (objective r = −.038 vs. self-rated r = .117; p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(r = .330 vs. non-Asia r = .030) did not reach significance in the present k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did not reveal significant pre-COVID vs. COVID-era differences for any trait. In particular, Conscientiousness effects were comparable across eras (pre-COVID r = .208 vs. COVID r = .179; Q_between p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(k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(r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in East Asian or other collectivistic settings, the significantly negative Extraversion × Region effect (Asian r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r = −.038 vs. self-rated r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(r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2021)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2"/>
        <w:spacing w:line="480" w:lineRule="auto" w:before="0" w:after="0"/>
      </w:pPr>
      <w:r>
        <w:t>Conclusions</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(r = .167) but at somewhat reduced magnitude compared to traditional classroom benchmarks; Extraversion was null on average (r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9"/>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Flow diagram adapted from the PRISMA 2020 statement (Page et al., 2021). Records were identified through WebSearch-based formal search (n = 80 from eight structured queries), preliminary informal search yielding a previously curated corpus (n = 28), and citation snowballing combined with open-access repository downloads (n = 12), for a total of 120 records. After deduplication (n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(n = 5; MBTI, Proactive Personality, TAM, TUE, and other non-FFM operationalization), face-to-face modality (n = 4; A-09 Bhattacharjee &amp; Ramkumar, 2025; A-10 Boonyapison et al., 2025; A-14 Eilam et al., 2009; A-16 Hidalgo-Fuentes et al., 2024), sample overlap with an already-included study (n = 1; A-05 Audet et al., 2023 overlapped with A-04 Audet et al., 2021), and effect size not extractable (n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0"/>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1"/>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3"/>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4"/>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5"/>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p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p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p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p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p = .255. See Table 4 for full publication-bias assessment.</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i/>
          <w:sz w:val="20"/>
        </w:rPr>
        <w:t xml:space="preserve">Note. </w:t>
      </w:r>
      <w:r>
        <w:rPr>
          <w:rFonts w:ascii="Times New Roman" w:hAnsi="Times New Roman"/>
          <w:sz w:val="20"/>
        </w:rPr>
        <w:t>ID = study identifier in the deep-reading-notes ledger (A-XX sequence). N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b/>
                <w:sz w:val="20"/>
              </w:rPr>
              <w:t>Q(df), 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independent samples contributing a direct Pearson r or Peterson-Brown-converted β to the trait pool. N = total pooled sample size. r = random-effects REML pooled correlation on the Fisher z scale, back-transformed to r for display. 95% CI = Hartung-Knapp-Sidik-Jonkman–adjusted confidence interval. 95% PI = prediction interval for true effects in a new study. I² = Higgins &amp; Thompson's heterogeneity index. τ² = REML between-study variance. Q = Cochran's heterogeneity statistic; df = degrees of freedom; p = associated p-value. Traits are sorted by pooled r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Q_between(df), 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studies contributing to each subgroup. Q_between = between-subgroup heterogeneity statistic testing whether subgroups' pooled effects differ significantly. Dagger (†) indicates the two significant subgroup differences at p &lt; .001 after Holm-Bonferroni correction within the Extraversion trait pool. Categorical levels: Asia = East or Middle Eastern samples; non-Asia = European, North American, or Other regions. Era: pre-COVID = data collected ≤2019; COVID-era = 2020–2022. Post-COVID studies (k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2.14, p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−6.41, p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2.29, p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−8.53, p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−1.79, p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i/>
          <w:sz w:val="22"/>
        </w:rPr>
        <w:t xml:space="preserve">Note. </w:t>
      </w:r>
      <w:r>
        <w:rPr>
          <w:rFonts w:ascii="Times New Roman" w:hAnsi="Times New Roman"/>
          <w:sz w:val="22"/>
        </w:rPr>
        <w:t>Δr = change in pooled correlation from the primary analysis. A double dagger (‡) denotes a sensitivity-analysis-induced shift exceeding |Δr| = .05, which is considered potentially influential per the pre-registered threshold. A single dagger (†) denotes a significant Egger test at p &lt; .05. "Exclude Tokiwa (COI)" removes the present author's prior primary study (Tokiwa, 2025); the zero delta reflects that this study did not contribute a direct r to the primary pool. "Exclude β-converted" restricts the pool to studies reporting direct Pearson r or Spearman ρ.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b/>
                <w:sz w:val="20"/>
              </w:rPr>
              <w:t>Trait (k, N)</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0"/>
              </w:rPr>
              <w:t>Conscientiousness</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0"/>
              </w:rPr>
              <w:t>Not serious</w:t>
              <w:br/>
              <w:t>(Egger p=.094)</w:t>
            </w:r>
          </w:p>
        </w:tc>
        <w:tc>
          <w:tcPr>
            <w:tcW w:type="dxa" w:w="1170"/>
          </w:tcPr>
          <w:p>
            <w:pPr>
              <w:spacing w:before="0" w:after="0" w:line="276" w:lineRule="auto"/>
            </w:pPr>
            <w:r>
              <w:rPr>
                <w:rFonts w:ascii="Times New Roman" w:hAnsi="Times New Roman" w:eastAsia="Times New Roman"/>
                <w:sz w:val="20"/>
              </w:rPr>
              <w:t>Small</w:t>
              <w:br/>
              <w:t>(r=.167)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Openness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p=.045) †</w:t>
            </w:r>
          </w:p>
        </w:tc>
        <w:tc>
          <w:tcPr>
            <w:tcW w:type="dxa" w:w="1170"/>
          </w:tcPr>
          <w:p>
            <w:pPr>
              <w:spacing w:before="0" w:after="0" w:line="276" w:lineRule="auto"/>
            </w:pPr>
            <w:r>
              <w:rPr>
                <w:rFonts w:ascii="Times New Roman" w:hAnsi="Times New Roman" w:eastAsia="Times New Roman"/>
                <w:sz w:val="20"/>
              </w:rPr>
              <w:t>Small</w:t>
              <w:br/>
              <w:t>(r=.086)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Extraversion</w:t>
              <w:br/>
              <w:t>(k=9, N=3,363)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0"/>
              </w:rPr>
              <w:t>Serious</w:t>
              <w:br/>
              <w:t>(I²=75.5%)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0"/>
              </w:rPr>
              <w:t>Not serious</w:t>
              <w:br/>
              <w:t>(Egger p=.255)</w:t>
            </w:r>
          </w:p>
        </w:tc>
        <w:tc>
          <w:tcPr>
            <w:tcW w:type="dxa" w:w="1170"/>
          </w:tcPr>
          <w:p>
            <w:pPr>
              <w:spacing w:before="0" w:after="0" w:line="276" w:lineRule="auto"/>
            </w:pPr>
            <w:r>
              <w:rPr>
                <w:rFonts w:ascii="Times New Roman" w:hAnsi="Times New Roman" w:eastAsia="Times New Roman"/>
                <w:sz w:val="20"/>
              </w:rPr>
              <w:t>Null</w:t>
              <w:br/>
              <w:t>(r=.002)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Agreeableness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p=.072) †</w:t>
            </w:r>
          </w:p>
        </w:tc>
        <w:tc>
          <w:tcPr>
            <w:tcW w:type="dxa" w:w="1170"/>
          </w:tcPr>
          <w:p>
            <w:pPr>
              <w:spacing w:before="0" w:after="0" w:line="276" w:lineRule="auto"/>
            </w:pPr>
            <w:r>
              <w:rPr>
                <w:rFonts w:ascii="Times New Roman" w:hAnsi="Times New Roman" w:eastAsia="Times New Roman"/>
                <w:sz w:val="20"/>
              </w:rPr>
              <w:t>Small</w:t>
              <w:br/>
              <w:t>(r=.112)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Neuroticism</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0"/>
              </w:rPr>
              <w:t>Not serious</w:t>
              <w:br/>
              <w:t>(Egger p=.304)</w:t>
            </w:r>
          </w:p>
        </w:tc>
        <w:tc>
          <w:tcPr>
            <w:tcW w:type="dxa" w:w="1170"/>
          </w:tcPr>
          <w:p>
            <w:pPr>
              <w:spacing w:before="0" w:after="0" w:line="276" w:lineRule="auto"/>
            </w:pPr>
            <w:r>
              <w:rPr>
                <w:rFonts w:ascii="Times New Roman" w:hAnsi="Times New Roman" w:eastAsia="Times New Roman"/>
                <w:sz w:val="20"/>
              </w:rPr>
              <w:t>Null</w:t>
              <w:br/>
              <w:t>(r=.018)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i/>
          <w:sz w:val="22"/>
        </w:rPr>
        <w:t xml:space="preserve">Note. </w:t>
      </w:r>
      <w:r>
        <w:rPr>
          <w:rFonts w:ascii="Times New Roman" w:hAnsi="Times New Roman"/>
          <w:sz w:val="22"/>
        </w:rPr>
        <w:t>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(I² and prediction interval; serious if I² &gt; 50%, very serious if I² &gt; 75%), Indirectness (population, exposure, or outcome indirectness relative to the review question), Imprecision (serious if 95% CI crosses the null or is wider than 2 × MOI of |r| = .10), and Publication Bias (serious if Egger's test is significant at p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k of the available online-specific literature.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