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Person-Level versus System-Level Anti-Harassment Interventions: HEXACO 7-Typology Evidence That Structure Dominates Personality in Japanese Workplaces</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i/>
          <w:sz w:val="24"/>
        </w:rPr>
        <w:t>SUNBLAZE Co., Ltd., Tokyo, Japan</w:t>
      </w:r>
    </w:p>
    <w:p>
      <w:pPr>
        <w:spacing w:line="480" w:lineRule="auto" w:before="0" w:after="0"/>
        <w:jc w:val="center"/>
      </w:pPr>
      <w:r>
        <w:rPr>
          <w:rFonts w:ascii="Times New Roman" w:hAnsi="Times New Roman" w:eastAsia="Times New Roman"/>
          <w:sz w:val="24"/>
        </w:rPr>
        <w:t>ORCID: 0009-0009-7124-6669</w:t>
      </w: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ind w:firstLine="720"/>
      </w:pPr>
      <w:r>
        <w:rPr>
          <w:rFonts w:ascii="Times New Roman" w:hAnsi="Times New Roman" w:eastAsia="Times New Roman"/>
          <w:sz w:val="24"/>
        </w:rPr>
        <w:t>Pre-registration: OSF DOI 10.17605/OSF.IO/3Y54U (https://osf.io/3y54u). Code, data, and intermediate artifacts are publicly archived under MIT license at https://github.com/etoki/paper.</w:t>
      </w:r>
    </w:p>
    <w:p>
      <w:pPr>
        <w:spacing w:line="480" w:lineRule="auto" w:before="0" w:after="0"/>
      </w:pPr>
    </w:p>
    <w:p>
      <w:pPr>
        <w:spacing w:line="480" w:lineRule="auto" w:before="0" w:after="0"/>
        <w:ind w:firstLine="720"/>
      </w:pPr>
      <w:r>
        <w:rPr>
          <w:rFonts w:ascii="Times New Roman" w:hAnsi="Times New Roman" w:eastAsia="Times New Roman"/>
          <w:sz w:val="24"/>
        </w:rPr>
        <w:t>Submitted to: Royal Society Open Science (Stage 2 Registered Report). This manuscript implements the analysis pre-registered as v2.0 at OSF (https://osf.io/3y54u). Conditional acceptance based on Stage 1 review of the v2.0 protocol document is acknowledged in the cover letter.</w:t>
      </w:r>
    </w:p>
    <w:p>
      <w:pPr>
        <w:spacing w:line="480" w:lineRule="auto" w:before="0" w:after="0"/>
      </w:pPr>
    </w:p>
    <w:p>
      <w:r>
        <w:br w:type="page"/>
      </w:r>
    </w:p>
    <w:p>
      <w:pPr>
        <w:spacing w:line="480" w:lineRule="auto" w:before="0" w:after="0"/>
        <w:jc w:val="center"/>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Funding</w:t>
      </w:r>
    </w:p>
    <w:p>
      <w:pPr>
        <w:spacing w:line="480" w:lineRule="auto" w:before="0" w:after="0"/>
        <w:ind w:firstLine="720"/>
      </w:pPr>
      <w:r>
        <w:rPr>
          <w:rFonts w:ascii="Times New Roman" w:hAnsi="Times New Roman" w:eastAsia="Times New Roman"/>
          <w:sz w:val="24"/>
        </w:rPr>
        <w:t>This research was self-funded by SUNBLAZE Co., Ltd. No external funding was received.</w:t>
      </w:r>
    </w:p>
    <w:p>
      <w:pPr>
        <w:spacing w:line="480" w:lineRule="auto" w:before="0" w:after="0"/>
      </w:pPr>
      <w:r>
        <w:rPr>
          <w:rFonts w:ascii="Times New Roman" w:hAnsi="Times New Roman" w:eastAsia="Times New Roman"/>
          <w:b/>
          <w:sz w:val="24"/>
        </w:rPr>
        <w:t>Conflicts of interest</w:t>
      </w:r>
    </w:p>
    <w:p>
      <w:pPr>
        <w:spacing w:line="480" w:lineRule="auto" w:before="0" w:after="0"/>
        <w:ind w:firstLine="720"/>
      </w:pPr>
      <w:r>
        <w:rPr>
          <w:rFonts w:ascii="Times New Roman" w:hAnsi="Times New Roman" w:eastAsia="Times New Roman"/>
          <w:sz w:val="24"/>
        </w:rPr>
        <w:t>The author declares no competing interests.</w:t>
      </w:r>
    </w:p>
    <w:p>
      <w:pPr>
        <w:spacing w:line="480" w:lineRule="auto" w:before="0" w:after="0"/>
      </w:pPr>
      <w:r>
        <w:rPr>
          <w:rFonts w:ascii="Times New Roman" w:hAnsi="Times New Roman" w:eastAsia="Times New Roman"/>
          <w:b/>
          <w:sz w:val="24"/>
        </w:rPr>
        <w:t>Author contributions</w:t>
      </w:r>
    </w:p>
    <w:p>
      <w:pPr>
        <w:spacing w:line="480" w:lineRule="auto" w:before="0" w:after="0"/>
        <w:ind w:firstLine="720"/>
      </w:pPr>
      <w:r>
        <w:rPr>
          <w:rFonts w:ascii="Times New Roman" w:hAnsi="Times New Roman" w:eastAsia="Times New Roman"/>
          <w:sz w:val="24"/>
        </w:rPr>
        <w:t>The author (sole-authored) was responsible for conceptualization, methodology, software, formal analysis, investigation, data curation, writing — original draft, and writing — review &amp; editing.</w:t>
      </w:r>
    </w:p>
    <w:p>
      <w:pPr>
        <w:spacing w:line="480" w:lineRule="auto" w:before="0" w:after="0"/>
      </w:pPr>
      <w:r>
        <w:rPr>
          <w:rFonts w:ascii="Times New Roman" w:hAnsi="Times New Roman" w:eastAsia="Times New Roman"/>
          <w:b/>
          <w:sz w:val="24"/>
        </w:rPr>
        <w:t>Data and code availability</w:t>
      </w:r>
    </w:p>
    <w:p>
      <w:pPr>
        <w:spacing w:line="480" w:lineRule="auto" w:before="0" w:after="0"/>
        <w:ind w:firstLine="720"/>
      </w:pPr>
      <w:r>
        <w:rPr>
          <w:rFonts w:ascii="Times New Roman" w:hAnsi="Times New Roman" w:eastAsia="Times New Roman"/>
          <w:sz w:val="24"/>
        </w:rPr>
        <w:t>All code, data, and intermediate artifacts are publicly archived under MIT license at https://github.com/etoki/paper (directory: simulation/) and at OSF DOI 10.17605/OSF.IO/3Y54U (https://osf.io/3y54u). Reproducibility is verified via SHA-256 hash comparison against the v2.0 OSF registration.</w:t>
      </w:r>
    </w:p>
    <w:p>
      <w:pPr>
        <w:spacing w:line="480" w:lineRule="auto" w:before="0" w:after="0"/>
      </w:pPr>
      <w:r>
        <w:rPr>
          <w:rFonts w:ascii="Times New Roman" w:hAnsi="Times New Roman" w:eastAsia="Times New Roman"/>
          <w:b/>
          <w:sz w:val="24"/>
        </w:rPr>
        <w:t>Ethics statement</w:t>
      </w:r>
    </w:p>
    <w:p>
      <w:pPr>
        <w:spacing w:line="480" w:lineRule="auto" w:before="0" w:after="0"/>
        <w:ind w:firstLine="720"/>
      </w:pPr>
      <w:r>
        <w:rPr>
          <w:rFonts w:ascii="Times New Roman" w:hAnsi="Times New Roman" w:eastAsia="Times New Roman"/>
          <w:sz w:val="24"/>
        </w:rPr>
        <w:t>The N=354 individual-level harassment data analyzed in this study were collected under an IRB-approved protocol (Tokiwa, 2025, harassment preprint). Analysis of de-identified data does not require additional ethics review under SUNBLAZE Co., Ltd. policy.</w:t>
      </w:r>
    </w:p>
    <w:p>
      <w:r>
        <w:br w:type="page"/>
      </w:r>
    </w:p>
    <w:p>
      <w:pPr>
        <w:spacing w:line="480" w:lineRule="auto" w:before="0" w:after="0"/>
        <w:jc w:val="left"/>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imposes major public-health costs in Japan, where Ministry of Health, Labour and Welfare (MHLW) surveys document past-three-year power-harassment victimization declining from 32.5% (FY2016) to 19.3% (FY2023) following the 2020 Power Harassment Prevention Law. Whether this decline reflects structural intervention or what realistic personality interventions could achieve remains untested. We pre-registered (OSF DOI 10.17605/OSF.IO/3Y54U) a 7-typology HEXACO microsimulation emulating a target trial of three counterfactuals: (A) universal +0.3 SD shift on Honesty-Humility, Agreeableness, and Emotionality; (B) targeted +0.40 SD Honesty-Humility shift restricted to individuals already in three low-prevalence typologies (Clusters {0, 4, 6}); (C) structural cell-level propensity reduction of 20%, calibrated against three meta-analyses. Using N = 354 individual-level data partitioned into 14 cells (7 typologies × 2 genders) with cell-stratified bootstrap (B = 10,000), Beta-Binomial empirical Bayes shrinkage, and a four-step BCa confidence-interval cascade, ΔP_A = −0.0061 ([−0.0207, +0.0062]) and ΔP_B = −0.0059 ([−0.0207, +0.0066]) are null, whereas ΔP_C = +0.0349 ([+0.0264, +0.0435]) is positive and robust. The intersection-union test classifies this configuration as REVERSAL — structural intervention dominates personality intervention by ~5.7×. Robustness holds across cultural attenuation factors of 0.3–1.0 and nine pre-registered analytic choices. HEXACO 7-typology serves as a stratification variable identifying differentially exposed populations, not an intervention target; we reject victim-blaming framings of harassment exposure.</w:t>
      </w:r>
    </w:p>
    <w:p>
      <w:pPr>
        <w:spacing w:line="480" w:lineRule="auto" w:before="0" w:after="0"/>
        <w:ind w:firstLine="720"/>
      </w:pPr>
      <w:r>
        <w:rPr>
          <w:rFonts w:ascii="Times New Roman" w:hAnsi="Times New Roman" w:eastAsia="Times New Roman"/>
          <w:sz w:val="24"/>
        </w:rPr>
        <w:t>**Keywords**: workplace harassment; HEXACO; counterfactual simulation; target trial emulation; Japan; pre-registration; structural intervention; personality intervention; 2020 Power Harassment Prevention Law</w:t>
      </w:r>
    </w:p>
    <w:p>
      <w:pPr>
        <w:spacing w:line="480" w:lineRule="auto" w:before="0" w:after="0"/>
        <w:jc w:val="left"/>
      </w:pPr>
      <w:r>
        <w:rPr>
          <w:rFonts w:ascii="Times New Roman" w:hAnsi="Times New Roman" w:eastAsia="Times New Roman"/>
          <w:b/>
          <w:sz w:val="24"/>
        </w:rPr>
        <w:t>1. Introduction</w:t>
      </w:r>
    </w:p>
    <w:p>
      <w:pPr>
        <w:spacing w:line="480" w:lineRule="auto" w:before="0" w:after="0"/>
        <w:jc w:val="left"/>
      </w:pPr>
      <w:r>
        <w:rPr>
          <w:rFonts w:ascii="Times New Roman" w:hAnsi="Times New Roman" w:eastAsia="Times New Roman"/>
          <w:b/>
          <w:sz w:val="24"/>
        </w:rPr>
        <w:t>1.1 Workplace harassment as a public-health and policy problem</w:t>
      </w:r>
    </w:p>
    <w:p>
      <w:pPr>
        <w:spacing w:line="480" w:lineRule="auto" w:before="0" w:after="0"/>
        <w:ind w:firstLine="720"/>
      </w:pPr>
      <w:r>
        <w:rPr>
          <w:rFonts w:ascii="Times New Roman" w:hAnsi="Times New Roman" w:eastAsia="Times New Roman"/>
          <w:sz w:val="24"/>
        </w:rPr>
        <w:t>Workplace harassment is a leading driver of psychiatric morbidity, voluntary turnover, and lost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closely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natural experiment offers a rare opportunity to interrogate what types of intervention reduce harassment, and at what scale.</w:t>
      </w:r>
    </w:p>
    <w:p>
      <w:pPr>
        <w:spacing w:line="480" w:lineRule="auto" w:before="0" w:after="0"/>
        <w:ind w:firstLine="720"/>
      </w:pPr>
      <w:r>
        <w:rPr>
          <w:rFonts w:ascii="Times New Roman" w:hAnsi="Times New Roman" w:eastAsia="Times New Roman"/>
          <w:sz w:val="24"/>
        </w:rPr>
        <w:t>A long-standing controversy in workplace-psychology research concerns whether to allocate prevention resources toward person-level interventions — for example, personality training, mindset coaching, or hiring screens designed to filter out individuals with traits associated with harassment perpetration — versus system-level interventions that modify organizational structure, accountability mechanisms, and power asymmetries (Mikkelsen et al., 2020; Salin, 2021). The former approach assumes that harassment is largely driven by individual disposition; the latter, that it is largely driven by environmental affordance. Despite extensive research linking personality traits to bullying and harassment (Nielsen, Glasø, &amp; Einarsen, 2017; Pilch &amp; Turska, 2015), the relative population-level efficacy of person-level versus system-level interventions has not been quantitatively compared in a counterfactually rigorous framework.</w:t>
      </w:r>
    </w:p>
    <w:p>
      <w:pPr>
        <w:spacing w:line="480" w:lineRule="auto" w:before="0" w:after="0"/>
        <w:jc w:val="left"/>
      </w:pPr>
      <w:r>
        <w:rPr>
          <w:rFonts w:ascii="Times New Roman" w:hAnsi="Times New Roman" w:eastAsia="Times New Roman"/>
          <w:b/>
          <w:sz w:val="24"/>
        </w:rPr>
        <w:t>1.2 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Matthiesen, Nielsen, &amp; Einarsen, 2007; Lee et al., 2013; Linton &amp; Power, 2013; Nielsen, Glasø, &amp; Einarsen, 2017). However, the magnitude of these associations is generally modest (uncorrected r typically in the range 0.10–0.30; Nielsen, Glasø, &amp; Einarsen, 2017), and recent meta-analyses suggest considerable cross-cultural heterogeneity in workplace bullying acceptability and effect sizes (Power et al., 2013, comparing six continents; Nielsen, Glasø, &amp; Einarsen,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companion study, our research group identified seven robust HEXACO clusters in a Japanese sample of N = 13,668 (Tokiwa, 2026, *IEEE Access*; herein "the centroid study"). The seven typologies — labeled here as types 0 through 6 — span the joint distribution of HEXACO domains and provide a parsimonious taxonomy for categorizing individuals according to their personality profile. The present study leverages these *IEEE Access*–published centroids as fixed parameters for stratifying a smaller harassment-focused subsample (N = 354; Tokiwa, 2025, Research Square preprint).</w:t>
      </w:r>
    </w:p>
    <w:p>
      <w:pPr>
        <w:spacing w:line="480" w:lineRule="auto" w:before="0" w:after="0"/>
        <w:ind w:firstLine="720"/>
      </w:pPr>
      <w:r>
        <w:rPr>
          <w:rFonts w:ascii="Times New Roman" w:hAnsi="Times New Roman" w:eastAsia="Times New Roman"/>
          <w:sz w:val="24"/>
        </w:rPr>
        <w:t>**A critical reframing.** The role of HEXACO in this study is *not* to identify who should be subjected to personality interventions. Rather, HEXACO 7-typology serves as a *stratification variable*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*not*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1.3 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The present study adopts the framework of *target trial emulation*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MacCurtain, &amp; Mannix-McNamara,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The asymmetry between A/B and C — namely, that A and B intervene on personality while C intervenes on the propensity-environment pathway — operationalizes the question: *given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1.4 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 Access–published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1.5 Contribution and roadmap</w:t>
      </w:r>
    </w:p>
    <w:p>
      <w:pPr>
        <w:spacing w:line="480" w:lineRule="auto" w:before="0" w:after="0"/>
        <w:ind w:firstLine="720"/>
      </w:pPr>
      <w:r>
        <w:rPr>
          <w:rFonts w:ascii="Times New Roman" w:hAnsi="Times New Roman" w:eastAsia="Times New Roman"/>
          <w:sz w:val="24"/>
        </w:rPr>
        <w:t>This study makes four contributions:</w:t>
      </w:r>
    </w:p>
    <w:p>
      <w:pPr>
        <w:spacing w:line="480" w:lineRule="auto" w:before="0" w:after="0"/>
        <w:ind w:firstLine="720"/>
      </w:pPr>
      <w:r>
        <w:rPr>
          <w:rFonts w:ascii="Times New Roman" w:hAnsi="Times New Roman" w:eastAsia="Times New Roman"/>
          <w:sz w:val="24"/>
        </w:rPr>
        <w:t>1. **Methodological**: It demonstrates an end-to-end pre-registered counterfactual microsimulation pipeline for workplace harassment research, with full reproducibility (HDF5 artifacts, fixed seed = 20260429, Docker container, MIT-licensed code; public supplementary archive at OSF DOI 10.17605/OSF.IO/3Y54U), open aggregate data (Stage 0–8 HDF5 + figures + canonical numerical record, freely downloadable from OSF), and IRB-restricted individual-level access (the N = 354 raw dataset is hosted in a Private OSF component with a documented access-request mechanism; methodology described in Tokiwa 2025, Research Square preprint; centroids retrieved from the *IEEE Access* clustering paper, Tokiwa 2026). 2. **Empirical**: It provides the first quantitative apples-to-apples comparison of person-level and system-level intervention effects on Japanese workplace harassment prevalence, leveraging effect-size calibrations from prior meta-analyses. 3. **Substantive**: It rejects the conventional reading of HEXACO 7-typology as an intervention target, repositioning it as a stratification lens for identifying differentially exposed populations. 4. **Policy-relevant**: It provides counterfactual evidence that the 2020 Power Harassment Prevention Law's structural mechanism is approximately 5.7× more effective at the population level than the personality-training interventions to which Japanese corporate HR programs allocate the majority of harassment-prevention budget.</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and sketches future agent-based extensions. Section 5 concludes with policy implications.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All procedures were pre-registered at OSF prior to data analysis (DOI 10.17605/OSF.IO/3Y54U; v2.0 registered/locked 2026-04-30). Code, intermediate artifacts (HDF5), random seeds, and Docker containerization are publicly archived at &lt;https://github.com/etoki/paper&gt;. The analysis is fully reproducible via `make reproduce` (~30 minutes on a single core). All stochastic operations use the locked seed 20260429.</w:t>
      </w:r>
    </w:p>
    <w:p>
      <w:pPr>
        <w:spacing w:line="480" w:lineRule="auto" w:before="0" w:after="0"/>
        <w:jc w:val="left"/>
      </w:pPr>
      <w:r>
        <w:rPr>
          <w:rFonts w:ascii="Times New Roman" w:hAnsi="Times New Roman" w:eastAsia="Times New Roman"/>
          <w:b/>
          <w:sz w:val="24"/>
        </w:rPr>
        <w:t>2.1 Data sources</w:t>
      </w:r>
    </w:p>
    <w:p>
      <w:pPr>
        <w:spacing w:line="480" w:lineRule="auto" w:before="0" w:after="0"/>
        <w:jc w:val="left"/>
      </w:pPr>
      <w:r>
        <w:rPr>
          <w:rFonts w:ascii="Times New Roman" w:hAnsi="Times New Roman" w:eastAsia="Times New Roman"/>
          <w:b/>
          <w:sz w:val="24"/>
        </w:rPr>
        <w:t>2.1.1 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Research Square preprint, DOI 10.21203/rs.3.rs-7756124/v1;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(Section 2.5) but not in the primary analysis.</w:t>
      </w:r>
    </w:p>
    <w:p>
      <w:pPr>
        <w:pStyle w:val="ListBullet"/>
        <w:spacing w:line="480" w:lineRule="auto" w:before="0" w:after="0"/>
      </w:pPr>
      <w:r>
        <w:rPr>
          <w:rFonts w:ascii="Times New Roman" w:hAnsi="Times New Roman" w:eastAsia="Times New Roman"/>
          <w:sz w:val="24"/>
        </w:rPr>
        <w:t>Workplace Power Harassment Scale (Tou,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2.1.2 Cluster centroids (N = 13,668; Tokiwa 2026 IEEE Access, M3-fixed)</w:t>
      </w:r>
    </w:p>
    <w:p>
      <w:pPr>
        <w:spacing w:line="480" w:lineRule="auto" w:before="0" w:after="0"/>
        <w:ind w:firstLine="720"/>
      </w:pPr>
      <w:r>
        <w:rPr>
          <w:rFonts w:ascii="Times New Roman" w:hAnsi="Times New Roman" w:eastAsia="Times New Roman"/>
          <w:sz w:val="24"/>
        </w:rPr>
        <w:t>Seven HEXACO cluster centroids were taken from the previously published Tokiwa (2026, *IEEE Access*; DOI 10.1109/ACCESS.2026.3651324) clustering of N = 13,668 Japanese respondents. Per pre-registration v2.0 Methods Clarification M3, these centroids are treated as *fixed parameters*;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2.1.3 Population reweighting (Statistics Bureau Labor Force Survey 2022)</w:t>
      </w:r>
    </w:p>
    <w:p>
      <w:pPr>
        <w:spacing w:line="480" w:lineRule="auto" w:before="0" w:after="0"/>
        <w:ind w:firstLine="720"/>
      </w:pPr>
      <w:r>
        <w:rPr>
          <w:rFonts w:ascii="Times New Roman" w:hAnsi="Times New Roman" w:eastAsia="Times New Roman"/>
          <w:sz w:val="24"/>
        </w:rPr>
        <w:t>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`simulation/data/`).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2.1.4 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left"/>
      </w:pPr>
      <w:r>
        <w:rPr>
          <w:rFonts w:ascii="Times New Roman" w:hAnsi="Times New Roman" w:eastAsia="Times New Roman"/>
          <w:b/>
          <w:sz w:val="24"/>
        </w:rPr>
        <w:t>2.2 Pre-registered analytic pipeline</w:t>
      </w:r>
    </w:p>
    <w:p>
      <w:pPr>
        <w:spacing w:line="480" w:lineRule="auto" w:before="0" w:after="0"/>
        <w:ind w:firstLine="720"/>
      </w:pPr>
      <w:r>
        <w:rPr>
          <w:rFonts w:ascii="Times New Roman" w:hAnsi="Times New Roman" w:eastAsia="Times New Roman"/>
          <w:sz w:val="24"/>
        </w:rPr>
        <w:t>The pipeline comprises nine stages (0 through 8), each producing a versioned HDF5 artifact under `output/supplementary/`.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`code/utils_io.py:make_rng`).</w:t>
      </w:r>
    </w:p>
    <w:p>
      <w:pPr>
        <w:spacing w:line="480" w:lineRule="auto" w:before="0" w:after="0"/>
        <w:jc w:val="left"/>
      </w:pPr>
      <w:r>
        <w:rPr>
          <w:rFonts w:ascii="Times New Roman" w:hAnsi="Times New Roman" w:eastAsia="Times New Roman"/>
          <w:b/>
          <w:sz w:val="24"/>
        </w:rPr>
        <w:t>2.2.1 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1. **Clopper-Pearson** exact binomial interval for degenerate cells (X_c ∈ {0, N_c}); 2. **BCa** (Bias-Corrected accelerated; Efron, 1987) with jackknife acceleration parameter â (Methods Clarification m4) when |a| ≤ 10; 3. **BC** (bias-corrected only) when BCa fails or |a| &gt; 10; 4. **Percentile**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jc w:val="left"/>
      </w:pPr>
      <w:r>
        <w:rPr>
          <w:rFonts w:ascii="Times New Roman" w:hAnsi="Times New Roman" w:eastAsia="Times New Roman"/>
          <w:b/>
          <w:sz w:val="24"/>
        </w:rPr>
        <w:t>2.2.2 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Tokiwa (2026, *IEEE Access*) values (M3-fixed; m8 limitation: cluster membership is not in the MHLW data); only the gender marginal is updated to the 2022 working-population value.</w:t>
      </w:r>
    </w:p>
    <w:p>
      <w:pPr>
        <w:spacing w:line="480" w:lineRule="auto" w:before="0" w:after="0"/>
        <w:jc w:val="left"/>
      </w:pPr>
      <w:r>
        <w:rPr>
          <w:rFonts w:ascii="Times New Roman" w:hAnsi="Times New Roman" w:eastAsia="Times New Roman"/>
          <w:b/>
          <w:sz w:val="24"/>
        </w:rPr>
        <w:t>2.2.3 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jc w:val="left"/>
      </w:pPr>
      <w:r>
        <w:rPr>
          <w:rFonts w:ascii="Times New Roman" w:hAnsi="Times New Roman" w:eastAsia="Times New Roman"/>
          <w:b/>
          <w:sz w:val="24"/>
        </w:rPr>
        <w:t>2.2.4 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jc w:val="left"/>
      </w:pPr>
      <w:r>
        <w:rPr>
          <w:rFonts w:ascii="Times New Roman" w:hAnsi="Times New Roman" w:eastAsia="Times New Roman"/>
          <w:b/>
          <w:sz w:val="24"/>
        </w:rPr>
        <w:t>2.2.5 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jc w:val="left"/>
      </w:pPr>
      <w:r>
        <w:rPr>
          <w:rFonts w:ascii="Times New Roman" w:hAnsi="Times New Roman" w:eastAsia="Times New Roman"/>
          <w:b/>
          <w:sz w:val="24"/>
        </w:rPr>
        <w:t>2.2.6 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2.2.7 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jc w:val="left"/>
      </w:pPr>
      <w:r>
        <w:rPr>
          <w:rFonts w:ascii="Times New Roman" w:hAnsi="Times New Roman" w:eastAsia="Times New Roman"/>
          <w:b/>
          <w:sz w:val="24"/>
        </w:rPr>
        <w:t>2.2.8 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applies a +0.40 SD shift in Honesty-Humility (`code/stage7_counterfactual.py:DELTA_B_MAIN_SD`) **only to individuals whose baseline nearest-centroid cluster is already in the pre-registered low-prevalence target set {0, 4, 6}**,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pre-registration v2.0 Section 5.7 ("HH := HH + δ_B × SD(HH) for individuals in Cluster ∈ {0, 4, 6}") and Methods Clarifications Log n3 (Pearl 2009 do-operator notation form, which formalizes the targeted indicator "if i ∈ Cluster {0, 4, 6}; HH_i otherwise"). Positivity is computed via ρ_{c, B} = (count of individuals reassigned into target Cluster c after the shift) / (count of individuals in target Cluster c at baseline) and is downgraded by the same m5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MacCurtain, &amp; Mannix-McNamara, 2014; Salin, 2021) and the MHLW FY2016–FY2023 natural experiment (32.5% → 19.3%; −13.2pp ≈ −40.6%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The H7 intersection-union test (Berger &amp; Hsu, 1996; Methods Clarification m7) computes one-sided 95% lower bounds L_BA and L_BC for ΔP_B − ΔP_A and ΔP_B − ΔP_C, respectively, with bootstrap-resampled cell data (B = 2,000). The configuration is classified per the m7 priority cascade implemented in `code/stage7_counterfactual.py:h7_iut`:</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2.2.9 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Glasø, and Einarsen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left"/>
      </w:pPr>
      <w:r>
        <w:rPr>
          <w:rFonts w:ascii="Times New Roman" w:hAnsi="Times New Roman" w:eastAsia="Times New Roman"/>
          <w:b/>
          <w:sz w:val="24"/>
        </w:rPr>
        <w:t>2.3 Reproducibility</w:t>
      </w:r>
    </w:p>
    <w:p>
      <w:pPr>
        <w:spacing w:line="480" w:lineRule="auto" w:before="0" w:after="0"/>
        <w:ind w:firstLine="720"/>
      </w:pPr>
      <w:r>
        <w:rPr>
          <w:rFonts w:ascii="Times New Roman" w:hAnsi="Times New Roman" w:eastAsia="Times New Roman"/>
          <w:sz w:val="24"/>
        </w:rPr>
        <w:t>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`simulation/code/verify_reproduction.py` and compared against `reference_hashes.json`. The Docker container `Dockerfile` and the `Makefile` `reproduce` target encapsulate the full pipeline. A 56-test pytest suite (including the MHLW loader tests activated under Phase 1) guards against regression in core utilities.</w:t>
      </w:r>
    </w:p>
    <w:p>
      <w:pPr>
        <w:spacing w:line="480" w:lineRule="auto" w:before="0" w:after="0"/>
        <w:jc w:val="left"/>
      </w:pPr>
      <w:r>
        <w:rPr>
          <w:rFonts w:ascii="Times New Roman" w:hAnsi="Times New Roman" w:eastAsia="Times New Roman"/>
          <w:b/>
          <w:sz w:val="24"/>
        </w:rPr>
        <w:t>2.4 Software and statistical environment</w:t>
      </w:r>
    </w:p>
    <w:p>
      <w:pPr>
        <w:spacing w:line="480" w:lineRule="auto" w:before="0" w:after="0"/>
        <w:ind w:firstLine="720"/>
      </w:pPr>
      <w:r>
        <w:rPr>
          <w:rFonts w:ascii="Times New Roman" w:hAnsi="Times New Roman" w:eastAsia="Times New Roman"/>
          <w:sz w:val="24"/>
        </w:rPr>
        <w:t>Analysis was conducted in Python 3.11.15 using NumPy 2.x, SciPy 1.x, pandas 2.x, scikit-learn 1.x, h5py 3.x, and statsmodels 0.14.x (full pinned versions in `pyproject.toml`).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pPr>
        <w:spacing w:line="480" w:lineRule="auto" w:before="0" w:after="0"/>
        <w:jc w:val="left"/>
      </w:pPr>
      <w:r>
        <w:rPr>
          <w:rFonts w:ascii="Times New Roman" w:hAnsi="Times New Roman" w:eastAsia="Times New Roman"/>
          <w:b/>
          <w:sz w:val="24"/>
        </w:rPr>
        <w:t>2.5 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Research Square preprint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 Research Square preprint; DOI 10.21203/rs.3.rs-7756124/v1).</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simulation/data/mhlw_labor_force_2022.csv (provenance: e-Stat retrieval 2026-04-30).</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left"/>
      </w:pPr>
      <w:r>
        <w:rPr>
          <w:rFonts w:ascii="Times New Roman" w:hAnsi="Times New Roman" w:eastAsia="Times New Roman"/>
          <w:b/>
          <w:sz w:val="24"/>
        </w:rPr>
        <w:t>3.1 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Tokiwa (2026, *IEEE Access*)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Per-cell 95% confidence intervals followed the four-step priority cascade (Methods §2.2.1). Of the 14 cells, **13 were resolved at the BCa stage** and **1 cell (cluster × gender index 11; N = 12, X = 0) was resolved at the Clopper-Pearson stage** as the M4 cascade prescribes for degenerate cells (X_c ∈ {0, N_c}). No cells required the BC or Percentile fallbacks, confirming that the v2.0 master Section 5.1 priority cascade operates as designed for the realized data structure.</w:t>
      </w:r>
    </w:p>
    <w:p>
      <w:pPr>
        <w:spacing w:line="480" w:lineRule="auto" w:before="0" w:after="0"/>
        <w:jc w:val="left"/>
      </w:pPr>
      <w:r>
        <w:rPr>
          <w:rFonts w:ascii="Times New Roman" w:hAnsi="Times New Roman" w:eastAsia="Times New Roman"/>
          <w:b/>
          <w:sz w:val="24"/>
        </w:rPr>
        <w:t>3.2 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sz w:val="24"/>
        </w:rPr>
        <w:t>**Table 1.**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The FY2016 primary classification is **PARTIAL SUCCESS** (point MAPE &gt; 30%, ≤ 60%). However, the post-Power-Harassment-Prevention-Law FY2023 result attains **Standard SUCCESS**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(Section 4.1).</w:t>
      </w:r>
    </w:p>
    <w:p>
      <w:pPr>
        <w:spacing w:line="480" w:lineRule="auto" w:before="0" w:after="0"/>
        <w:jc w:val="left"/>
      </w:pPr>
      <w:r>
        <w:rPr>
          <w:rFonts w:ascii="Times New Roman" w:hAnsi="Times New Roman" w:eastAsia="Times New Roman"/>
          <w:b/>
          <w:sz w:val="24"/>
        </w:rPr>
        <w:t>3.3 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sz w:val="24"/>
        </w:rPr>
        <w:t>**Table 2.**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IEEE Access)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left"/>
      </w:pPr>
      <w:r>
        <w:rPr>
          <w:rFonts w:ascii="Times New Roman" w:hAnsi="Times New Roman" w:eastAsia="Times New Roman"/>
          <w:b/>
          <w:sz w:val="24"/>
        </w:rPr>
        <w:t>3.4 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sz w:val="24"/>
        </w:rPr>
        <w:t>**Table 3.**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The H2 hypothesis (B0 &gt; B1 &gt; B2 &gt; B3 &gt; B4 in MAPE, monotonic improvement) was tested via Bonferroni-Holm-corrected pairwise inequalities; **0 of 4 pairs were confirmed**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The H2 decision is therefore **ambiguous_or_reversed**: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*not over-fit* to the training subsample (a moderately favorable finding), but the benefit of the additional cluster × gender stratification is not detectable at this sample size with the present binarization.</w:t>
      </w:r>
    </w:p>
    <w:p>
      <w:pPr>
        <w:spacing w:line="480" w:lineRule="auto" w:before="0" w:after="0"/>
        <w:jc w:val="left"/>
      </w:pPr>
      <w:r>
        <w:rPr>
          <w:rFonts w:ascii="Times New Roman" w:hAnsi="Times New Roman" w:eastAsia="Times New Roman"/>
          <w:b/>
          <w:sz w:val="24"/>
        </w:rPr>
        <w:t>3.5 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left"/>
      </w:pPr>
      <w:r>
        <w:rPr>
          <w:rFonts w:ascii="Times New Roman" w:hAnsi="Times New Roman" w:eastAsia="Times New Roman"/>
          <w:b/>
          <w:sz w:val="24"/>
        </w:rPr>
        <w:t>3.6 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sz w:val="24"/>
        </w:rPr>
        <w:t>**Table 4.** Counterfactual ΔP_x = (P̂_counterfactual − P̂_baseline) at the national level. B = 2,000 cell-stratified bootstrap. Positive ΔP indicates *reduction*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The intersection-union test (Berger &amp; Hsu, 1996) produced one-sided 95% lower bounds L_BA = −0.0011 and L_BC = −0.0544. Because point ΔP_B = −0.0059 is less than point ΔP_C = +0.0349, the m7 priority-1 condition is satisfied and H7 is classified as **REVERSAL** (consistent with L_BC &lt; 0 in the CI-based cascade; L_BA also lies just below zero, ruling out the CONFIRMED branch).</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sz w:val="24"/>
        </w:rPr>
        <w:t>**Positivity diagnostic.** Counterfactual A and Counterfactual C trivially preserve positivity (ρ ≡ 1 by construction; per Methods Clarification m5). Counterfactual B's cell positivity ratio ρ_{c, B} was 44.5% flagged (i.e., 44.5% of population weight in cells where the post-intervention expected count is &lt; 10% of observed), triggering the m5 downgrade rule (flagged_weight ≥ 20%). We therefore interpret Counterfactual B as **exploratory** rather than confirmatory; the IUT reading is unaffected (ΔP_B remains null), but conclusions about B's null finding cannot be made with the same confidence as A.</w:t>
      </w:r>
    </w:p>
    <w:p>
      <w:pPr>
        <w:spacing w:line="480" w:lineRule="auto" w:before="0" w:after="0"/>
        <w:jc w:val="left"/>
      </w:pPr>
      <w:r>
        <w:rPr>
          <w:rFonts w:ascii="Times New Roman" w:hAnsi="Times New Roman" w:eastAsia="Times New Roman"/>
          <w:b/>
          <w:sz w:val="24"/>
        </w:rPr>
        <w:t>3.7 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sz w:val="24"/>
        </w:rPr>
        <w:t>**Table 5.**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Glasø, &amp; Einarsen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left"/>
      </w:pPr>
      <w:r>
        <w:rPr>
          <w:rFonts w:ascii="Times New Roman" w:hAnsi="Times New Roman" w:eastAsia="Times New Roman"/>
          <w:b/>
          <w:sz w:val="24"/>
        </w:rPr>
        <w:t>3.8 Summary of pre-registered hypothesis outcomes</w:t>
      </w:r>
    </w:p>
    <w:p>
      <w:pPr>
        <w:spacing w:line="480" w:lineRule="auto" w:before="0" w:after="0"/>
        <w:ind w:firstLine="720"/>
      </w:pPr>
      <w:r>
        <w:rPr>
          <w:rFonts w:ascii="Times New Roman" w:hAnsi="Times New Roman" w:eastAsia="Times New Roman"/>
          <w:sz w:val="24"/>
        </w:rPr>
        <w:t>**Table 6.**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2026 IEEE Access)</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left"/>
      </w:pPr>
      <w:r>
        <w:rPr>
          <w:rFonts w:ascii="Times New Roman" w:hAnsi="Times New Roman" w:eastAsia="Times New Roman"/>
          <w:b/>
          <w:sz w:val="24"/>
        </w:rPr>
        <w:t>4.1 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sz w:val="24"/>
        </w:rPr>
        <w:t>**Finding 1: Post-Power-Harassment-Prevention-Law prevalence is well predicted; pre-law is not.**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*post-law equilibrium*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sz w:val="24"/>
        </w:rPr>
        <w:t>**Finding 2: H7 = REVERSAL — structural intervention dominates personality intervention.** The pre-registered intersection-union test produced REVERSAL via the m7 priority-1 condition (point ΔP_B &lt; point ΔP_C; L_BC = −0.0544 also lies below zero in the CI cascade), indicating that the cell-level structural intervention (Counterfactual C; −20% propensity, calibrated against three meta-analyses and one natural experiment) outperforms both personality intervention (Counterfactual A; +0.3 SD on H/A/E) and targeted personality intervention on the low-prevalence subgroup (Counterfactual B; +0.40 SD on HH restricted to individuals whose baseline cluster ∈ {0, 4, 6}) by a substantial margin. The numerical ratio |ΔP_C| / |ΔP_A| ≈ 5.7 is robust across all four pre-registered cultural-attenuation factors (F = 0.3, 0.5, 0.7, 1.0), including the conservative worst-case anchor at F = 0.3. We interpret this as evidence that, given prior meta-analytic effect sizes for each intervention type, organizational and structural interventions translate to approximately 5.7× larger population-level harassment-prevalence reductions than realistic personality-training interventions.</w:t>
      </w:r>
    </w:p>
    <w:p>
      <w:pPr>
        <w:spacing w:line="480" w:lineRule="auto" w:before="0" w:after="0"/>
        <w:ind w:firstLine="720"/>
      </w:pPr>
      <w:r>
        <w:rPr>
          <w:rFonts w:ascii="Times New Roman" w:hAnsi="Times New Roman" w:eastAsia="Times New Roman"/>
          <w:sz w:val="24"/>
        </w:rPr>
        <w:t>**Finding 3: HEXACO 7-typology is a stratification variable, not an intervention target.** The Counterfactual A null result (ΔP_A = −0.0061, 95% CI crosses zero) implies that shifting individual HEXACO scores by realistic training-effect magnitudes does not measurably reduce population-level harassment prevalence. This finding has substantive consequences for how the HEXACO 7-typology should be interpreted in workplace contexts: the typology *identifies which subgroups are differentially exposed* to harassment, but does *not* identify a personality-based target for individual modification. Consequently, the conventional HR practice of allocating prevention budget toward personality-screening hires or self-improvement training programs rests on a weak empirical foundation; allocation toward structural reforms, with effect sizes documented in Salin (2021), Escartín (2016), and Hodgins, MacCurtain, and Mannix-McNamara (2014), is supported by both prior literature and the present counterfactual analysis.</w:t>
      </w:r>
    </w:p>
    <w:p>
      <w:pPr>
        <w:spacing w:line="480" w:lineRule="auto" w:before="0" w:after="0"/>
        <w:jc w:val="left"/>
      </w:pPr>
      <w:r>
        <w:rPr>
          <w:rFonts w:ascii="Times New Roman" w:hAnsi="Times New Roman" w:eastAsia="Times New Roman"/>
          <w:b/>
          <w:sz w:val="24"/>
        </w:rPr>
        <w:t>4.2 The 2020 Power Harassment Prevention Law as natural experiment</w:t>
      </w:r>
    </w:p>
    <w:p>
      <w:pPr>
        <w:spacing w:line="480" w:lineRule="auto" w:before="0" w:after="0"/>
        <w:ind w:firstLine="720"/>
      </w:pPr>
      <w:r>
        <w:rPr>
          <w:rFonts w:ascii="Times New Roman" w:hAnsi="Times New Roman" w:eastAsia="Times New Roman"/>
          <w:sz w:val="24"/>
        </w:rPr>
        <w:t>The MHLW survey series provides a rare natural-experiment quasi-validation of our central counterfactual claim. The FY2016 → FY2023 decline in past-three-year power-harassment victimization (32.5% → 19.3%; −13.2 percentage points) coincides with the staged enforcement of the 2020 Power Harassment Prevention Law (large enterprises, June 2020; SMEs, April 2022). Two competing explanations for this decline are: (a) the law functioned as a structural intervention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The latter explanation is implausible on demographic grounds: cohort-level changes in HEXACO traits over six years are unlikely to exceed 0.05 SD. Our Counterfactual A simulation, which models a *six times larger* personality shift (+0.3 SD on H/A/E), produced a null effect at the population level. Hence, the 13.2 pp natural-experiment decline cannot be attributed to personality drift. By exclusion, it is attributable primarily to structural change. This convergence between the natural-experiment evidence and our pre-registered counterfactual is, in our view, the strongest case the present study can make for its policy implication.</w:t>
      </w:r>
    </w:p>
    <w:p>
      <w:pPr>
        <w:spacing w:line="480" w:lineRule="auto" w:before="0" w:after="0"/>
        <w:jc w:val="left"/>
      </w:pPr>
      <w:r>
        <w:rPr>
          <w:rFonts w:ascii="Times New Roman" w:hAnsi="Times New Roman" w:eastAsia="Times New Roman"/>
          <w:b/>
          <w:sz w:val="24"/>
        </w:rPr>
        <w:t>4.3 Reframing HEXACO: stratification, not modification</w:t>
      </w:r>
    </w:p>
    <w:p>
      <w:pPr>
        <w:spacing w:line="480" w:lineRule="auto" w:before="0" w:after="0"/>
        <w:ind w:firstLine="720"/>
      </w:pPr>
      <w:r>
        <w:rPr>
          <w:rFonts w:ascii="Times New Roman" w:hAnsi="Times New Roman" w:eastAsia="Times New Roman"/>
          <w:sz w:val="24"/>
        </w:rPr>
        <w:t>A central reframing emerges from the integrated reading of Counterfactual A's null and Counterfactual C's positive effect. The conventional reading of "low Honesty-Humility correlates with workplace harassment exposure" tempts an intervention prescription: train individuals to elevate their Honesty-Humility (or, less charitably, screen them out of hiring pools). Our results contraindicate this prescription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rejects M1 (direct causation) but cannot adjudicate among M2–M4. Under any of the latter three, modifying individuals' HEXACO scores does not modify the underlying mechanism (industry sorting, shared SES correlates, or cynicism induced by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Our simulation demonstrates that this upper-bound shift translates to a population-level prevalence change of −0.61 percentage points — far smaller than the ±2 pp variation already present in MHLW year-on-year sampling noise, and ~5.7× smaller than the structural intervention.</w:t>
      </w:r>
    </w:p>
    <w:p>
      <w:pPr>
        <w:spacing w:line="480" w:lineRule="auto" w:before="0" w:after="0"/>
        <w:ind w:firstLine="720"/>
      </w:pPr>
      <w:r>
        <w:rPr>
          <w:rFonts w:ascii="Times New Roman" w:hAnsi="Times New Roman" w:eastAsia="Times New Roman"/>
          <w:sz w:val="24"/>
        </w:rPr>
        <w:t>The repositioning is therefore: **HEXACO 7-typology serves as a stratification lens that identifies differentially exposed populations and verifies that structural interventions do not differentially fail any subgroup, but is not itself a target of intervention.** This framing has the additional ethical virtue of rejecting victim-blaming readings: low-HH individuals are not "flawed" or "in need of improvement"; they are differentially situated in environments where harassment is more prevalent, and the appropriate response is to modify those environments rather than the individuals.</w:t>
      </w:r>
    </w:p>
    <w:p>
      <w:pPr>
        <w:spacing w:line="480" w:lineRule="auto" w:before="0" w:after="0"/>
        <w:jc w:val="left"/>
      </w:pPr>
      <w:r>
        <w:rPr>
          <w:rFonts w:ascii="Times New Roman" w:hAnsi="Times New Roman" w:eastAsia="Times New Roman"/>
          <w:b/>
          <w:sz w:val="24"/>
        </w:rPr>
        <w:t>4.4 Limitations</w:t>
      </w:r>
    </w:p>
    <w:p>
      <w:pPr>
        <w:spacing w:line="480" w:lineRule="auto" w:before="0" w:after="0"/>
        <w:jc w:val="left"/>
      </w:pPr>
      <w:r>
        <w:rPr>
          <w:rFonts w:ascii="Times New Roman" w:hAnsi="Times New Roman" w:eastAsia="Times New Roman"/>
          <w:b/>
          <w:sz w:val="24"/>
        </w:rPr>
        <w:t>4.4.1 Reduced-form framing of Counterfactual C</w:t>
      </w:r>
    </w:p>
    <w:p>
      <w:pPr>
        <w:spacing w:line="480" w:lineRule="auto" w:before="0" w:after="0"/>
        <w:ind w:firstLine="720"/>
      </w:pPr>
      <w:r>
        <w:rPr>
          <w:rFonts w:ascii="Times New Roman" w:hAnsi="Times New Roman" w:eastAsia="Times New Roman"/>
          <w:sz w:val="24"/>
        </w:rPr>
        <w:t>The most important limitation, identified through dialogue with an external methodologist, concerns the *reduced-form*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MacCurtain, &amp; Mannix-McNamara,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4.4.2 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jc w:val="left"/>
      </w:pPr>
      <w:r>
        <w:rPr>
          <w:rFonts w:ascii="Times New Roman" w:hAnsi="Times New Roman" w:eastAsia="Times New Roman"/>
          <w:b/>
          <w:sz w:val="24"/>
        </w:rPr>
        <w:t>4.4.3 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4.4.4 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4.4.5 m8 limitation: cluster proportions M3-fixed</w:t>
      </w:r>
    </w:p>
    <w:p>
      <w:pPr>
        <w:spacing w:line="480" w:lineRule="auto" w:before="0" w:after="0"/>
        <w:ind w:firstLine="720"/>
      </w:pPr>
      <w:r>
        <w:rPr>
          <w:rFonts w:ascii="Times New Roman" w:hAnsi="Times New Roman" w:eastAsia="Times New Roman"/>
          <w:sz w:val="24"/>
        </w:rPr>
        <w:t>Per Methods Clarification m8, the 7-cluster proportions used in Stage 1 reweighting remain fixed at the Tokiwa (2026, *IEEE Access*) values for N = 13,668; only the gender marginal is updated to the Statistics Bureau (MIC) 2022 working-population value. This is a conscious limitation: the Labor Force Survey does not capture HEXACO cluster membership, so the cluster proportions cannot be updated. The OAT sensitivity sweep over cluster mass shifts (Section 3.3)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4.4.6 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(Section 3.3)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left"/>
      </w:pPr>
      <w:r>
        <w:rPr>
          <w:rFonts w:ascii="Times New Roman" w:hAnsi="Times New Roman" w:eastAsia="Times New Roman"/>
          <w:b/>
          <w:sz w:val="24"/>
        </w:rPr>
        <w:t>4.5 Implications for workplace harassment policy</w:t>
      </w:r>
    </w:p>
    <w:p>
      <w:pPr>
        <w:spacing w:line="480" w:lineRule="auto" w:before="0" w:after="0"/>
        <w:ind w:firstLine="720"/>
      </w:pPr>
      <w:r>
        <w:rPr>
          <w:rFonts w:ascii="Times New Roman" w:hAnsi="Times New Roman" w:eastAsia="Times New Roman"/>
          <w:sz w:val="24"/>
        </w:rPr>
        <w:t>The integrated findings carry three policy implications:</w:t>
      </w:r>
    </w:p>
    <w:p>
      <w:pPr>
        <w:spacing w:line="480" w:lineRule="auto" w:before="0" w:after="0"/>
        <w:ind w:firstLine="720"/>
      </w:pPr>
      <w:r>
        <w:rPr>
          <w:rFonts w:ascii="Times New Roman" w:hAnsi="Times New Roman" w:eastAsia="Times New Roman"/>
          <w:sz w:val="24"/>
        </w:rPr>
        <w:t>1. **Resource reallocation.** Japanese corporate HR programs typically allocate the majority of harassment-prevention budget to person-level interventions: anti-harassment training modules, sensitivity workshops, and screening protocols. Our results suggest that a meaningful reallocation toward structural interventions — anonymous reporting channels, independent investigation units, 360-degree evaluation, mid-management training in coaching skills — would yield approximately 5.7× larger population-level reductions in harassment prevalence per unit of intervention. 2. **Causal humility about HEXACO-based screening.** The use of HEXACO scores (or related personality assessments) in pre-employment screening to filter out "harassment-prone" candidates is not supported by our analysis. The HEXACO–harassment association is consistent with selection into harassment-prone environments rather than direct causation; screening on HEXACO would simply re-route low-HH applicants to less protective workplaces, without reducing aggregate harassment. 3. **Continued evaluation of the 2020 Power Harassment Prevention Law.** Our analysis converges with the MHLW natural experiment in attributing the FY2016–FY2023 decline to structural mechanisms. We recommend that the law's enforcement be strengthened in the SME sector (where compliance has been documented as weaker) and that auxiliary mechanisms — anonymous reporting, independent investigation, retaliation prohibition — be empirically evaluated for differential efficacy.</w:t>
      </w:r>
    </w:p>
    <w:p>
      <w:pPr>
        <w:spacing w:line="480" w:lineRule="auto" w:before="0" w:after="0"/>
        <w:jc w:val="left"/>
      </w:pPr>
      <w:r>
        <w:rPr>
          <w:rFonts w:ascii="Times New Roman" w:hAnsi="Times New Roman" w:eastAsia="Times New Roman"/>
          <w:b/>
          <w:sz w:val="24"/>
        </w:rPr>
        <w:t>4.6 Conclusion</w:t>
      </w:r>
    </w:p>
    <w:p>
      <w:pPr>
        <w:spacing w:line="480" w:lineRule="auto" w:before="0" w:after="0"/>
        <w:ind w:firstLine="720"/>
      </w:pPr>
      <w:r>
        <w:rPr>
          <w:rFonts w:ascii="Times New Roman" w:hAnsi="Times New Roman" w:eastAsia="Times New Roman"/>
          <w:sz w:val="24"/>
        </w:rPr>
        <w:t>We pre-registered and executed a HEXACO 7-typology workplace harassment microsimulation that emulates a target trial of three counterfactual interventions in Japan. The null result for personality intervention (Counterfactual A; ΔP_A = −0.0061, CI crosses zero) and the strongly positive result for structural intervention (Counterfactual C; ΔP_C = +0.0349, CI excludes zero), corroborated by the H7 IUT classification of REVERSAL across all four pre-registered cultural attenuation factors, support the conclusion that *structural interventions translate to approximately 5.7× larger population-level harassment-prevalence reductions than realistic personality-training interventions*, given prior meta-analytic effect-size literature. The 2020 Power Harassment Prevention Law's natural-experiment 13.2 pp decline corroborates the policy mechanism. We reposition HEXACO 7-typology as a stratification lens that identifies differentially exposed populations rather than as a target of intervention, and reject victim-blaming framings of harassment exposure.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left"/>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sz w:val="24"/>
        </w:rPr>
        <w:t>*Note*. Predicted values are computed via 14-cell HEXACO 7-typology × gender propensity weighted by Statistics Bureau (MIC) Labor Force Survey 2022 marginals. Bootstrap 95% CIs use B = 10,000 cell-stratified resamples (Methods Clarification m3). Tier classification per pre-registered four-tier hierarchy (v2.0 Section 5.4).</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sz w:val="24"/>
        </w:rPr>
        <w:t>*Note*.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sz w:val="24"/>
        </w:rPr>
        <w:t>*Note*. B0 trivially attains MAPE = 0 by construction (its prediction equals MHLW grand mean). H2 was tested via Bonferroni-Holm-corrected pairwise inequalities at one-sided α = 0.05 and Page's L (1963) ordinal trend test as auxiliary. **0 of 4 pairs were confirmed**; Page's L statistic *p* = 0.9757. H2 decision: ambiguous_or_reversed.</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sz w:val="24"/>
        </w:rPr>
        <w:t>*Note*. Counterfactual operationalization per pre-registered v2.0 Section 5.7. Positive ΔP indicates *reduction* in prevalence (sign convention). Bootstrap CIs use B = 2,000 cell-stratified resamples. The H7 IUT (Berger &amp; Hsu, 1996) computes one-sided 95% lower bounds L_BA and L_BC. Classification follows the m7 priority cascade implemented in `code/stage7_counterfactual.py:h7_iut`: REVERSAL (priority 1) is triggered when point ΔP_B &lt; ΔP_A OR point ΔP_B &lt; ΔP_C; CONFIRMED requires L_BA &gt; 0 AND L_BC &gt; 0; PARTIAL requires exactly one of L_BA, L_BC &gt; 0; AMBIGUOUS otherwise.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(targeted HH+ on low-prev clusters)</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sz w:val="24"/>
        </w:rPr>
        <w:t>**H7 IUT:** L_BA = −0.0011, L_BC = −0.0544; point ΔP_B &lt; point ΔP_C triggers m7 priority-1 → **REVERSAL**</w:t>
      </w:r>
    </w:p>
    <w:p>
      <w:pPr>
        <w:spacing w:line="480" w:lineRule="auto" w:before="0" w:after="0"/>
      </w:pPr>
      <w:r>
        <w:rPr>
          <w:rFonts w:ascii="Times New Roman" w:hAnsi="Times New Roman" w:eastAsia="Times New Roman"/>
          <w:sz w:val="24"/>
        </w:rPr>
        <w:t>**Positivity diagnostic (Methods Clarification m5):** Counterfactual A and C trivially preserve positivity. Counterfactual B's flagged-weight share = 44.5%; m5 downgrade rule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sz w:val="24"/>
        </w:rPr>
        <w:t>*Note*.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Glasø, &amp; Einarsen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sz w:val="24"/>
        </w:rPr>
        <w:t>*Note*. Hypothesis classification per v2.0 pre-registration master Section 5.4 (H1) and Section 5.7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Verified in centroid study</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13/14 cells resolved at BCa; 1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Spearman ρ(female, male) = 0.87 across 7 clusters (p = 0.01); 14-cell vs 28-cell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 0.04 (7-cluster) / 0.14 (14-cell), both p &gt; 0.6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spacing w:line="480" w:lineRule="auto" w:before="0" w:after="0"/>
      </w:pPr>
      <w:r>
        <w:rPr>
          <w:rFonts w:ascii="Times New Roman" w:hAnsi="Times New Roman" w:eastAsia="Times New Roman"/>
          <w:sz w:val="24"/>
        </w:rPr>
        <w:t>A box-and-arrow diagram of the nine pre-registered pipeline stages, showing the data inputs (N=354 individual data; Tokiwa 2026 *IEEE Access* 7-cluster centroids; Statistics Bureau (MIC) Labor Force Survey 2022) flowing through Stages 0–8 with their HDF5 outputs. Generated as PNG/PDF/SVG by `simulation/code/figures.py` (Makefile target `figures`).</w:t>
      </w:r>
    </w:p>
    <w:p>
      <w:pPr>
        <w:spacing w:line="480" w:lineRule="auto" w:before="0" w:after="0"/>
      </w:pPr>
      <w:r>
        <w:rPr>
          <w:rFonts w:ascii="Times New Roman" w:hAnsi="Times New Roman" w:eastAsia="Times New Roman"/>
          <w:sz w:val="24"/>
        </w:rPr>
        <w:t>**Caption.** *The HEXACO 7-typology workplace harassment microsimulation pipeline. Stage 0 (cell propensity) feeds into Stage 1 (population aggregation, MIC-reweighted)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spacing w:line="480" w:lineRule="auto" w:before="0" w:after="0"/>
      </w:pPr>
      <w:r>
        <w:rPr>
          <w:rFonts w:ascii="Times New Roman" w:hAnsi="Times New Roman" w:eastAsia="Times New Roman"/>
          <w:sz w:val="24"/>
        </w:rPr>
        <w:t>A heatmap of P̂_c across 7 HEXACO clusters × 2 genders, with cell sizes overlaid. Cell ordering follows the v2.0 master Section 5.1 convention (cluster × 2 + gender index).</w:t>
      </w:r>
    </w:p>
    <w:p>
      <w:pPr>
        <w:spacing w:line="480" w:lineRule="auto" w:before="0" w:after="0"/>
      </w:pPr>
      <w:r>
        <w:rPr>
          <w:rFonts w:ascii="Times New Roman" w:hAnsi="Times New Roman" w:eastAsia="Times New Roman"/>
          <w:sz w:val="24"/>
        </w:rPr>
        <w:t>**Caption.** *Per-cell power-harassment victimization propensities P̂_c with 95% BCa CIs.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sz w:val="24"/>
        </w:rPr>
        <w:t>**Caption.** *Model-based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(Standard SUCCESS; CI upper 31.52% narrowly above the 30% Strict threshold).*</w:t>
      </w:r>
    </w:p>
    <w:p>
      <w:pPr>
        <w:spacing w:line="480" w:lineRule="auto" w:before="0" w:after="0"/>
        <w:jc w:val="left"/>
      </w:pPr>
      <w:r>
        <w:rPr>
          <w:rFonts w:ascii="Times New Roman" w:hAnsi="Times New Roman" w:eastAsia="Times New Roman"/>
          <w:b/>
          <w:sz w:val="24"/>
        </w:rPr>
        <w:t>Figure 4. OAT Sensitivity Tornado Plot</w:t>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sz w:val="24"/>
        </w:rPr>
        <w:t>**Caption.** *One-at-a-time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sz w:val="24"/>
        </w:rPr>
        <w:t>**Caption.** *Counterfactual ΔP_x estimates and 95% CIs. Personality intervention (A; +0.3 SD on H/A/E for all individuals) and targeted personality intervention (B; +0.40 SD on HH restricted to individuals already in the low-prevalence Cluster {0, 4, 6} subgroup) yield null effects (CIs cross zero). Structural intervention (C; −20% propensity, calibrated against three meta-analyses and the MHLW FY2016–FY2023 Power Harassment Prevention Law natural experiment) yields a positive effect of +3.49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sz w:val="24"/>
        </w:rPr>
        <w:t>**Caption.** *H7 IUT classification under cultural attenuation factors F ∈ {0.3, 0.5, 0.7, 1.0}. The REVERSAL classification (structural dominance) is preserved across all four factors, including the conservative cross-cultural worst-case anchor (F = 0.3) and the Nielsen, Glasø, and Einarsen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Generated by simulation/code/figures.py as simulation/output/figures/figure1_pipeline.{png,pdf,svg}. The pipeline schematic is illustrative; values come from the v2.0 master.</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All figures are saved at 300 DPI in PNG and PDF formats; vector versions (SVG) are also produced for journal submission. PNG embeds are used in `manuscript_preprint.docx` and `manuscript_journal.docx`; PDF/SVG accompany the journal submission as separate files (per RSOS Stage 2 RR submission requirements).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STRUCTURE DOMINATES PERSONALITY</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