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Predicted values are computed via 14-cell HEXACO 7-typology × gender propensity weighted by Statistics Bureau (MIC) Labor Force Survey 2022 marginals. Bootstrap 95% CIs use B = 10,000 cell-stratified resamples (Methods Clarification m3). Tier classification per pre-registered four-tier hierarchy (v2.0 Section 5.4).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B0 trivially attains MAPE = 0 by construction (its prediction equals MHLW grand mean). H2 was tested via Bonferroni-Holm-corrected pairwise inequalities at one-sided α = 0.05 and Page's L (1963) ordinal trend test as auxiliary. **0 of 4 pairs were confirmed**; Page's L statistic *p* = 0.9757. H2 decision: ambiguous_or_reversed.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[0.00, 0.00]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46.02%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[46.02, 46.02]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43.98%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[40.33, 47.35]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[46.34, 46.34]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47.04%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[45.02, 49.05]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Counterfactual operationalization per pre-registered v2.0 Section 5.7. Positive ΔP indicates *reduction* in prevalence (sign convention). Bootstrap CIs use B = 2,000 cell-stratified resamples. The H7 IUT (Berger &amp; Hsu, 1996) computes one-sided 95% lower bounds L_BA and L_BC. Classification follows the m7 priority cascade implemented in `code/stage7_counterfactual.py:h7_iut`: REVERSAL (priority 1) is triggered when point ΔP_B &lt; ΔP_A OR point ΔP_B &lt; ΔP_C; CONFIRMED requires L_BA &gt; 0 AND L_BC &gt; 0; PARTIAL requires exactly one of L_BA, L_BC &gt; 0; AMBIGUOUS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(targeted HH+ on low-prev clusters)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:= HH + 0.40σ_HH) for individuals whose baseline cluster ∈ {0, 4, 6}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[+0.0264, +0.0435]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**H7 IUT:** L_BA = −0.0011, L_BC = −0.0544; point ΔP_B &lt; point ΔP_C triggers m7 priority-1 → **REVERSAL**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**Positivity diagnostic (Methods Clarification m5):** Counterfactual A and C trivially preserve positivity. Counterfactual B's flagged-weight share = 44.5%; m5 downgrade rule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Nielsen, Glasø, &amp; Einarsen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Hypothesis classification per v2.0 pre-registration master Section 5.4 (H1) and Section 5.7 (H7).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Verified in centroid study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13/14 cells resolved at BCa; 1 (X=0) at Clopper-Pearson per M4 cascade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ρ(female, male) = 0.87 across 7 clusters (p = 0.01); 14-cell vs 28-cell stable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= 0.04 (7-cluster) / 0.14 (14-cell), both p &gt; 0.6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figures are saved at 300 DPI in PNG and PDF formats; vector versions (SVG) are also produced for journal submission. PNG embeds are used in `manuscript_preprint.docx` and `manuscript_journal.docx`; PDF/SVG accompany the journal submission as separate files (per RSOS Stage 2 RR submission requirements).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STRUCTURE DOMINATES PERSONALITY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