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HEXACO 7-Typology Evidence That Structure Dominates Personality in Japanese Workplaces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Figures (captions)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1. Pipeline Schematic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box-and-arrow diagram of the nine pre-registered pipeline stages, showing the data inputs (N=354 individual data; Tokiwa 2026 *IEEE Access* 7-cluster centroids; Statistics Bureau (MIC) Labor Force Survey 2022) flowing through Stages 0–8 with their HDF5 outputs. Generated as PNG/PDF/SVG by `simulation/code/figures.py` (Makefile target `figures`).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*The HEXACO 7-typology workplace harassment microsimulation pipeline. Stage 0 (cell propensity) feeds into Stage 1 (population aggregation, MIC-reweighted) and Stage 2 (H1 four-tier classification). Stage 3 (sensitivity), Stage 4 (baselines), Stage 5 (CMV diagnostic), Stage 6 (target trial PICO), Stage 7 (counterfactuals + H7 IUT), and Stage 8 (transportability) operate in parallel after Stage 2.*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2. 14-Cell Cell-Level Propensity (Stage 0)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heatmap of P̂_c across 7 HEXACO clusters × 2 genders, with cell sizes overlaid. Cell ordering follows the v2.0 master Section 5.1 convention (cluster × 2 + gender index).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*Per-cell power-harassment victimization propensities P̂_c with 95% BCa CIs. Cell sizes (N_c) range from 10 to 70 (median 18). Color encodes propensity (blue = low; red = high). Cells with N_c &lt; 20 are demarcated with a dashed boundary.*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3. National Prevalence vs MHLW Validation Targets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bar chart of model-predicted P̂ = 0.1744 (single bar) overlaid with the three MHLW validation targets (FY2016 = 0.325, FY2020 = 0.314, FY2023 = 0.193) as horizontal reference lines, with the staged enforcement period of the 2020 Power Harassment Prevention Law shaded.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*Model-based national prevalence (P̂ = 17.44%, blue bar) compared with MHLW past-three-year power-harassment victimization targets across three survey periods. The 2020 Power Harassment Prevention Law's staged enforcement (large enterprises 2020-06; SMEs 2022-04) coincides with the FY2020 → FY2023 decline. Predicted prevalence aligns most closely with the post-law FY2023 target (Standard SUCCESS; CI upper 31.52% narrowly above the 30% Strict threshold).*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4. OAT Sensitivity Tornado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tornado plot with parameter families on the y-axis and MAPE_FY2016 horizontal bars on the x-axis, ordered by sensitivity magnitude. The two sensitive families (binarization, cluster mass) appear at the top with wide bars; the two stable families (soft τ, EB scale) appear at the bottom with narrow bars. The locked main configuration is marked with a vertical reference line.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*One-at-a-time sensitivity sweep of FY2016 MAPE. Binarization threshold and cluster mass shift exhibit substantial sensitivity (range 29.6% to 56.5%), whereas soft-assignment τ and empirical Bayes shrinkage scale exhibit negligible sensitivity (range &lt; 0.5%). Vertical line at 45.51% marks the locked v2.0 main configuration.*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5. Counterfactual ΔP_x Forest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forest plot with three counterfactuals on the y-axis (A, B, C), point estimates with 95% CIs as horizontal whiskers, and a vertical reference line at ΔP = 0. Counterfactuals A and B's CIs overlap zero; Counterfactual C's CI excludes zero on the positive side.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*Counterfactual ΔP_x estimates and 95% CIs. Personality intervention (A; +0.3 SD on H/A/E for all individuals) and targeted personality intervention (B; +0.40 SD on HH restricted to individuals already in the low-prevalence Cluster {0, 4, 6} subgroup) yield null effects (CIs cross zero). Structural intervention (C; −20% propensity, calibrated against three meta-analyses and the MHLW FY2016–FY2023 Power Harassment Prevention Law natural experiment) yields a positive effect of +3.49 percentage points (CI excludes zero on the positive side). The H7 intersection-union test (Berger &amp; Hsu, 1996) classifies this configuration as REVERSAL.*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6. Transportability Robustness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line plot with cultural attenuation factor F on the x-axis (0.3 to 1.0) and ΔP_x on the y-axis. Three lines for ΔP_A, ΔP_B, ΔP_C, with 95% CIs as shaded bands. The ΔP_C line remains above zero across the entire factor range; the ΔP_A and ΔP_B lines remain centered on zero.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*H7 IUT classification under cultural attenuation factors F ∈ {0.3, 0.5, 0.7, 1.0}. The REVERSAL classification (structural dominance) is preserved across all four factors, including the conservative cross-cultural worst-case anchor (F = 0.3) and the Nielsen, Glasø, and Einarsen (2017) Asia/Oceania expected attenuation (F = 0.5).*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STRUCTURE DOMINATES PERSONALITY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