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720"/>
      </w:pPr>
      <w:r>
        <w:rPr>
          <w:rFonts w:ascii="Times New Roman" w:hAnsi="Times New Roman" w:eastAsia="Times New Roman"/>
          <w:b/>
          <w:sz w:val="24"/>
        </w:rPr>
        <w:t>Title:</w:t>
      </w:r>
      <w:r>
        <w:rPr>
          <w:rFonts w:ascii="Times New Roman" w:hAnsi="Times New Roman" w:eastAsia="Times New Roman"/>
          <w:sz w:val="24"/>
        </w:rPr>
        <w:t xml:space="preserve"> </w:t>
      </w:r>
      <w:r>
        <w:rPr>
          <w:rFonts w:ascii="Times New Roman" w:hAnsi="Times New Roman" w:eastAsia="Times New Roman"/>
          <w:i/>
          <w:sz w:val="24"/>
        </w:rPr>
        <w:t>Person-Level versus System-Level Anti-Harassment Interventions: A HEXACO 7-Typology Counterfactual Microsimulation in Japanese Workplaces</w:t>
      </w:r>
    </w:p>
    <w:p>
      <w:pPr>
        <w:spacing w:line="480" w:lineRule="auto" w:before="0" w:after="0"/>
        <w:ind w:firstLine="720"/>
      </w:pPr>
      <w:r>
        <w:rPr>
          <w:rFonts w:ascii="Times New Roman" w:hAnsi="Times New Roman" w:eastAsia="Times New Roman"/>
          <w:b/>
          <w:sz w:val="24"/>
        </w:rPr>
        <w:t>Author</w:t>
      </w:r>
      <w:r>
        <w:rPr>
          <w:rFonts w:ascii="Times New Roman" w:hAnsi="Times New Roman" w:eastAsia="Times New Roman"/>
          <w:sz w:val="24"/>
        </w:rPr>
        <w:t xml:space="preserve">: Eisuke Tokiwa </w:t>
      </w:r>
      <w:r>
        <w:rPr>
          <w:rFonts w:ascii="Times New Roman" w:hAnsi="Times New Roman" w:eastAsia="Times New Roman"/>
          <w:b/>
          <w:sz w:val="24"/>
        </w:rPr>
        <w:t>Affiliation</w:t>
      </w:r>
      <w:r>
        <w:rPr>
          <w:rFonts w:ascii="Times New Roman" w:hAnsi="Times New Roman" w:eastAsia="Times New Roman"/>
          <w:sz w:val="24"/>
        </w:rPr>
        <w:t xml:space="preserve">: SUNBLAZE Co., Ltd., Tokyo, Japan </w:t>
      </w:r>
      <w:r>
        <w:rPr>
          <w:rFonts w:ascii="Times New Roman" w:hAnsi="Times New Roman" w:eastAsia="Times New Roman"/>
          <w:b/>
          <w:sz w:val="24"/>
        </w:rPr>
        <w:t>ORCID</w:t>
      </w:r>
      <w:r>
        <w:rPr>
          <w:rFonts w:ascii="Times New Roman" w:hAnsi="Times New Roman" w:eastAsia="Times New Roman"/>
          <w:sz w:val="24"/>
        </w:rPr>
        <w:t xml:space="preserve">: 0009-0009-7124-6669 </w:t>
      </w:r>
      <w:r>
        <w:rPr>
          <w:rFonts w:ascii="Times New Roman" w:hAnsi="Times New Roman" w:eastAsia="Times New Roman"/>
          <w:b/>
          <w:sz w:val="24"/>
        </w:rPr>
        <w:t>Correspondence</w:t>
      </w:r>
      <w:r>
        <w:rPr>
          <w:rFonts w:ascii="Times New Roman" w:hAnsi="Times New Roman" w:eastAsia="Times New Roman"/>
          <w:sz w:val="24"/>
        </w:rPr>
        <w:t xml:space="preserve">: eisuke.tokiwa@sunblaze.jp </w:t>
      </w:r>
      <w:r>
        <w:rPr>
          <w:rFonts w:ascii="Times New Roman" w:hAnsi="Times New Roman" w:eastAsia="Times New Roman"/>
          <w:b/>
          <w:sz w:val="24"/>
        </w:rPr>
        <w:t>Pre-registration</w:t>
      </w:r>
      <w:r>
        <w:rPr>
          <w:rFonts w:ascii="Times New Roman" w:hAnsi="Times New Roman" w:eastAsia="Times New Roman"/>
          <w:sz w:val="24"/>
        </w:rPr>
        <w:t xml:space="preserve">: OSF DOI 10.17605/OSF.IO/3Y54U (v2.0; locked 2026-04-30) </w:t>
      </w:r>
      <w:r>
        <w:rPr>
          <w:rFonts w:ascii="Times New Roman" w:hAnsi="Times New Roman" w:eastAsia="Times New Roman"/>
          <w:b/>
          <w:sz w:val="24"/>
        </w:rPr>
        <w:t>Preprint</w:t>
      </w:r>
      <w:r>
        <w:rPr>
          <w:rFonts w:ascii="Times New Roman" w:hAnsi="Times New Roman" w:eastAsia="Times New Roman"/>
          <w:sz w:val="24"/>
        </w:rPr>
        <w:t xml:space="preserve">: SocArXiv DOI 10.31235/osf.io/p2d8w_v1 (posted 2026-05-08) </w:t>
      </w:r>
      <w:r>
        <w:rPr>
          <w:rFonts w:ascii="Times New Roman" w:hAnsi="Times New Roman" w:eastAsia="Times New Roman"/>
          <w:b/>
          <w:sz w:val="24"/>
        </w:rPr>
        <w:t>Reporting standard</w:t>
      </w:r>
      <w:r>
        <w:rPr>
          <w:rFonts w:ascii="Times New Roman" w:hAnsi="Times New Roman" w:eastAsia="Times New Roman"/>
          <w:sz w:val="24"/>
        </w:rPr>
        <w:t>: Stage 2 Registered Report (post-data) following the v2.0 pre-registration</w:t>
      </w:r>
    </w:p>
    <w:p>
      <w:pPr>
        <w:spacing w:line="480" w:lineRule="auto" w:before="0" w:after="0"/>
        <w:ind w:firstLine="720"/>
      </w:pPr>
      <w:r>
        <w:rPr>
          <w:rFonts w:ascii="Times New Roman" w:hAnsi="Times New Roman" w:eastAsia="Times New Roman"/>
          <w:sz w:val="24"/>
        </w:rPr>
        <w:t>&lt;!-- Note (markdown source): Funding, competing interests, ethics, authors' contributions, data availability, and acknowledgments are rendered in the Author Note / Declarations section of the docx by build_docx.py / build_ieee_docx.py from constants in those scripts; they do not need to be repeated in this markdown file. --&gt;</w:t>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mental-health and labor-supply costs in Japan, where Ministry of Health, Labour and Welfare (MHLW) surveys document past-three-year power-harassment victimization declining from 32.5% (FY2016) to 19.3% (FY2023) across the enforcement period of the 2020 Power Harassment Prevention Law. The relative population-level magnitudes of plausible person-level and system-level interventions in this setting have not been compared in a pre-registered counterfactual framework. We pre-registered a HEXACO 7-typology microsimulation emulating a target trial of three interventions: (A) +0.3 SD on Honesty-Humility, Agreeableness, and Emotionality; (B) +0.40 SD on Honesty-Humility restricted to three low-prevalence typologies; and (C) a 20% cell-level propensity reduction, calibrated against three meta-analyses of organizational anti-harassment interventions and the −13.2-percentage-point MHLW FY2016–FY2023 decline. Using N = 354 observations partitioned into 14 cells (7 typologies × 2 genders) with cell-stratified bootstrap (B = 10,000), Beta-Binomial empirical Bayes shrinkage, and a BCa confidence-interval cascade, the personality contrasts are null (ΔP_A = −0.0061, 95% CI [−0.0207, +0.0062]; ΔP_B = −0.0059, 95% CI [−0.0207, +0.0066]), whereas the structural contrast is positive (ΔP_C = +0.0349, 95% CI [+0.0264, +0.0435]). The pre-registered intersection-union test classifies this as REVERSAL: in absolute magnitude, |ΔP_C|/|ΔP_A| ≈ 5.7. The classification is robust across four cultural-attenuation factors and nine pre-registered analytic choices. The findings are consistent with treating HEXACO 7-typology as a stratification variable rather than a personality-modification target, and we caution against reading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ind w:firstLine="720"/>
      </w:pPr>
      <w:r>
        <w:rPr>
          <w:rFonts w:ascii="Times New Roman" w:hAnsi="Times New Roman" w:eastAsia="Times New Roman"/>
          <w:sz w:val="24"/>
        </w:rPr>
        <w:t>Workplace harassment imposes substantial mental-health and labor-supply costs in industrialized economies, and Japan is a particularly informative setting because the Ministry of Health, Labour and Welfare (MHLW) has documented a 13.2-percentage-point decline in past-three-year power-harassment victimization (32.5% in FY2016 → 19.3% in FY2023) over the period spanning enforcement of the 2020 Power Harassment Prevention Law (MHLW, 2017, 2024). This temporal pattern raises a fundamental question for occupational psychology: when both individual personality traits and organizational structures predict harassment exposure, which side of the person–environment ledger contributes more to population-level prevalence change?</w:t>
      </w:r>
    </w:p>
    <w:p>
      <w:pPr>
        <w:spacing w:line="480" w:lineRule="auto" w:before="0" w:after="0"/>
        <w:ind w:firstLine="720"/>
      </w:pPr>
      <w:r>
        <w:rPr>
          <w:rFonts w:ascii="Times New Roman" w:hAnsi="Times New Roman" w:eastAsia="Times New Roman"/>
          <w:sz w:val="24"/>
        </w:rPr>
        <w:t>The present study addresses this question with a pre-registered counterfactual microsimulation that emulates a target trial of three interventions — two acting on personality (HEXACO Honesty-Humility, Agreeableness, Emotionality) and one acting on cell-level structural propensity. Under prior meta-analytic effect-size calibrations for each intervention type, the analysis classifies the configuration as REVERSAL: the structural-intervention contrast is approximately five-fold larger in absolute magnitude than the personality-intervention contrast.</w:t>
      </w:r>
    </w:p>
    <w:p>
      <w:pPr>
        <w:spacing w:line="480" w:lineRule="auto" w:before="0" w:after="0"/>
        <w:ind w:firstLine="720"/>
      </w:pPr>
      <w:r>
        <w:rPr>
          <w:rFonts w:ascii="Times New Roman" w:hAnsi="Times New Roman" w:eastAsia="Times New Roman"/>
          <w:sz w:val="24"/>
        </w:rPr>
        <w:t>The remainder of this paper unfolds as follows. Section II reviews the relevant background — the public-health framing of workplace harassment in Japan, the HEXACO 7-typology and its prior connection to harassment, microsimulation as a methodological bridge, the seven pre-registered hypotheses, and the study's contribution. Section III details the methods. Section IV reports the results. Section V discusses limitations and implications. Section VI concludes.</w:t>
      </w:r>
    </w:p>
    <w:p>
      <w:pPr>
        <w:spacing w:line="480" w:lineRule="auto" w:before="0" w:after="0"/>
        <w:jc w:val="center"/>
      </w:pPr>
      <w:r>
        <w:rPr>
          <w:rFonts w:ascii="Times New Roman" w:hAnsi="Times New Roman" w:eastAsia="Times New Roman"/>
          <w:b/>
          <w:sz w:val="24"/>
        </w:rPr>
        <w:t>Background and History</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the author identified seven robust HEXACO clusters in a Japanese sample of N = 13,668 (Tokiwa, 2026; herein "the centroid study"). The seven typologies — labeled here as types 0 through 6 — span the joint distribution of HEXACO domains and provide a parsimonious taxonomy for categorizing individuals according to their personality profile. The present study leverages these published centroids as fixed parameters for stratifying a smaller harassment-focused subsample (N = 354; Tokiwa, 2025).</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Purpose and significance of the present study</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(2025) and Tokiwa (2026); deposit details are provided in Methods (Data availability).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r>
        <w:br w:type="page"/>
      </w:r>
    </w:p>
    <w:p>
      <w:pPr>
        <w:spacing w:line="480" w:lineRule="auto" w:before="0" w:after="0"/>
        <w:ind w:firstLine="720"/>
      </w:pPr>
      <w:r>
        <w:rPr>
          <w:rFonts w:ascii="Times New Roman" w:hAnsi="Times New Roman" w:eastAsia="Times New Roman"/>
          <w:sz w:val="24"/>
        </w:rPr>
        <w:t>All procedures were pre-registered prior to data analysis (v2.0 registered and locked 2026-04-30; deposit details and access conditions are given in the Data availability subsection below). The pre-registration consists of a master document together with an accompanying Methods Clarifications Log (locked alongside the v2.0 registration) that records minor specification clarifications introduced during the protocol-development phase; references to specific clarifications below are described inline rather than by their internal index codes. The analysis is fully reproducible from publicly available code and intermediate artifacts in approximately 30 minutes on a single core; all stochastic operations use a fixed random seed.</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clustering of N = 13,668 Japanese respondents. Per pre-registration,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soft-assignment with τ ∈ {0.5, 1.0, 2.0} × median nearest-neighbor distance was also computed as a pre-registered sensitivity analysis).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pre-registered four-step priority cascade:</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the jackknife acceleration parameter â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pre-registered rejection triggers: (i) bootstrap-stabilized variance ratio σ̂² / [μ̂(1 − μ̂)] &lt; 0.05; (ii) max(α̂, β̂) &gt; 100; (iii) (α̂ + β̂) / median(N_k) &gt; 5. Per-iteration (α̂, β̂) re-estimation in bootstrap follows Carlin and Louis (2000).</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values (cluster membership is not measured in the Labour Force Survey, and updating the cluster mass is therefore reserved for future work; this dependency is acknowledged as a pre-registered limitation);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the pre-registered headline-bootstrap rule, the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3. Empirical Bayes shrinkage scale ∈ {0.5×, 1.0× (main), 2.0×} prior pseudocount; 4. Cluster-proportion mass shift ∈ {−0.10, 0.0 (main), +0.10} (proxy for cluster-mass uncertainty under the pre-registered sensitivity specification; the full Cartesian sweep is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under the cluster-proportion limitation discussed in §Data availability).</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 pre-registered auxiliary statistic.</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the Hudgens and Halloran (2008) peer-effect framework, per pre-registration).</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the pre-registered positivity criterion, positivity is quantitatively diagnosed via the cell-level ratio ρ_{c, x = A} = (counterfactual cell N) / (observed cell N); cells with ρ &lt; 0.10 are flagged, and the intervention is downgraded from confirmatory to exploratory if flagged_weight ≥ 20%.</w:t>
      </w:r>
    </w:p>
    <w:p>
      <w:pPr>
        <w:spacing w:line="480" w:lineRule="auto" w:before="0" w:after="0"/>
        <w:ind w:firstLine="720"/>
      </w:pPr>
      <w:r>
        <w:rPr>
          <w:rFonts w:ascii="Times New Roman" w:hAnsi="Times New Roman" w:eastAsia="Times New Roman"/>
          <w:sz w:val="24"/>
        </w:rPr>
        <w:t xml:space="preserve">Counterfactual B applies a +0.40 SD shift in Honesty-Humility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the pre-registered specification "HH := HH + δ_B × SD(HH) for individuals in Cluster ∈ {0, 4, 6}" and follows Pearl's (2009) do-operator notation, which formalizes the targeted indicator "if i ∈ Cluster {0, 4, 6}; HH_i otherwise". Positivity is computed via ρ_{c, B} = (count of individuals reassigned into target Cluster c after the shift) / (count of individuals in target Cluster c at baseline) and is downgraded by the same positivity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 pp ≈ −40.6% relative). Positivity for C is trivially preserved (ρ ≡ 1) per pre-registration.</w:t>
      </w:r>
    </w:p>
    <w:p>
      <w:pPr>
        <w:spacing w:line="480" w:lineRule="auto" w:before="0" w:after="0"/>
        <w:ind w:firstLine="720"/>
      </w:pPr>
      <w:r>
        <w:rPr>
          <w:rFonts w:ascii="Times New Roman" w:hAnsi="Times New Roman" w:eastAsia="Times New Roman"/>
          <w:sz w:val="24"/>
        </w:rPr>
        <w:t>The H7 intersection-union test (Berger &amp; Hsu, 1996) computes one-sided 95% lower bounds L_BA and L_BC for ΔP_B − ΔP_A and ΔP_B − ΔP_C, respectively, with bootstrap-resampled cell data (B = 2,000). The configuration is classified per the pre-registered priority cascade:</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the pre-registered cultural-attenuation sweep,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a fixed random seed. HDF5 artifacts at each stage include the seed, the pre-registration version identifier, the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w:t>
      </w:r>
      <w:r>
        <w:rPr>
          <w:rFonts w:ascii="Times New Roman" w:hAnsi="Times New Roman" w:eastAsia="Times New Roman"/>
          <w:sz w:val="24"/>
        </w:rPr>
        <w:t>reproduce</w:t>
      </w:r>
      <w:r>
        <w:rPr>
          <w:rFonts w:ascii="Times New Roman" w:hAnsi="Times New Roman" w:eastAsia="Times New Roman"/>
          <w:sz w:val="24"/>
        </w:rPr>
        <w:t xml:space="preserve"> Makefile target encapsulate the full pipeline. A 56-test pytest suite (including the loader tests for the Statistics Bureau Labour Force Survey data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the project's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the project's GitHub repository and archived at OSF (DOI 10.17605/OSF.IO/3Y54U). The pre-registration is locked at OSF (DOI 10.17605/OSF.IO/3Y54U), and the v1.1 → v2.0 public diff document and v2.0 Methods Clarifications Log are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ind w:firstLine="720"/>
      </w:pPr>
      <w:r>
        <w:rPr>
          <w:rFonts w:ascii="Times New Roman" w:hAnsi="Times New Roman" w:eastAsia="Times New Roman"/>
          <w:sz w:val="24"/>
        </w:rPr>
        <w:t>All results are reported using the locked random seed. Numerical values are reproduced verbatim from the HDF5 artifacts produced by the pipeline; deposit locations and SHA-256 verification hashes are documented in Methods (Data availability).</w:t>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cascade prescribes for degenerate cells (X_c ∈ {0, N_c}). No cells required the BC or Percentile fallbacks, confirming that the pre-registered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pre-registered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cluster proportions to the conclusion (acknowledged as a pre-registered limitation, since cluster membership is not measured in the Labour Force Survey and the cluster mass cannot be re-weighted).</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We note that the priority-1 trigger uses the ΔP_B point estimate, which is downgraded to </w:t>
      </w:r>
      <w:r>
        <w:rPr>
          <w:rFonts w:ascii="Times New Roman" w:hAnsi="Times New Roman" w:eastAsia="Times New Roman"/>
          <w:i/>
          <w:sz w:val="24"/>
        </w:rPr>
        <w:t>exploratory</w:t>
      </w:r>
      <w:r>
        <w:rPr>
          <w:rFonts w:ascii="Times New Roman" w:hAnsi="Times New Roman" w:eastAsia="Times New Roman"/>
          <w:sz w:val="24"/>
        </w:rPr>
        <w:t xml:space="preserve"> under the pre-registered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the pre-registered positivity rule). Counterfactual B's cell positivity ratio ρ_{c, B} was 44.5% flagged (i.e., 44.5% of population weight in cells where the post-intervention expected count is &lt; 10% of observed), triggering the pre-registered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pre-registered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via stability analyses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the pre-registered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priority-1 condition (point ΔP_B &lt; point ΔP_C; L_BC = −0.0544 also lies below zero in the CI cascade, providing CI-based corroboration of REVERSAL that does not rely on the ΔP_B point estimate, which is downgraded to exploratory under the pre-registered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Cluster-proportion limitation (cluster mass fixed at the Tokiwa 2026 values)</w:t>
      </w:r>
    </w:p>
    <w:p>
      <w:pPr>
        <w:spacing w:line="480" w:lineRule="auto" w:before="0" w:after="0"/>
        <w:ind w:firstLine="720"/>
      </w:pPr>
      <w:r>
        <w:rPr>
          <w:rFonts w:ascii="Times New Roman" w:hAnsi="Times New Roman" w:eastAsia="Times New Roman"/>
          <w:sz w:val="24"/>
        </w:rPr>
        <w:t>The 7-cluster proportions used in Stage 1 reweighting remain fixed at the Tokiwa (2026) values for N = 13,668; only the gender marginal is updated to the Statistics Bureau (MIC) 2022 working-population value. This is a conscious limitation, acknowledged in pre-registration: the Labour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