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Predicted values are computed via 14-cell HEXACO 7-typology × gender propensity weighted by Statistics Bureau (MIC) Labour Force Survey 2022 marginals. Bootstrap 95% CIs use B = 10,000 cell-stratified resamples per the pre-registered headline-bootstrap rule. Tier classification follows the pre-registered four-tier hierarchy.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B0 trivially attains MAPE = 0 by construction (its prediction equals MHLW grand mean). H2 was tested via Bonferroni-Holm-corrected pairwise inequalities at one-sided α = 0.05 and Page's L (1963) ordinal trend test as auxiliary. </w:t>
      </w:r>
      <w:r>
        <w:rPr>
          <w:rFonts w:ascii="Times New Roman" w:hAnsi="Times New Roman" w:eastAsia="Times New Roman"/>
          <w:b/>
          <w:sz w:val="24"/>
        </w:rPr>
        <w:t>0 of 4 pairs were confirmed</w:t>
      </w:r>
      <w:r>
        <w:rPr>
          <w:rFonts w:ascii="Times New Roman" w:hAnsi="Times New Roman" w:eastAsia="Times New Roman"/>
          <w:sz w:val="24"/>
        </w:rPr>
        <w:t xml:space="preserve">; Page's L statistic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0.9757. H2 decision: ambiguous_or_reversed. Baselines B0, B1, and B3 are deterministic functions of the realized cell counts under the cell-stratified bootstrap (their aggregation rules are closed-form given the cell partitions) and therefore yield zero-width bootstrap CIs by construction; B2 and B4 re-fit logistic-regression coefficients within each bootstrap replicate and accordingly show non-degenerate CIs.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Counterfactual operationalization follows the pre-registered specification. Positive ΔP indicates </w:t>
      </w:r>
      <w:r>
        <w:rPr>
          <w:rFonts w:ascii="Times New Roman" w:hAnsi="Times New Roman" w:eastAsia="Times New Roman"/>
          <w:i/>
          <w:sz w:val="24"/>
        </w:rPr>
        <w:t>reduction</w:t>
      </w:r>
      <w:r>
        <w:rPr>
          <w:rFonts w:ascii="Times New Roman" w:hAnsi="Times New Roman" w:eastAsia="Times New Roman"/>
          <w:sz w:val="24"/>
        </w:rPr>
        <w:t xml:space="preserve"> in prevalence (sign convention). Bootstrap CIs use B = 2,000 cell-stratified resamples. The H7 IUT (Berger &amp; Hsu, 1996) computes one-sided 95% lower bounds L_BA and L_BC. Classification follows the pre-registered priority cascade: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H7 IUT:</w:t>
      </w:r>
      <w:r>
        <w:rPr>
          <w:rFonts w:ascii="Times New Roman" w:hAnsi="Times New Roman" w:eastAsia="Times New Roman"/>
          <w:sz w:val="24"/>
        </w:rPr>
        <w:t xml:space="preserve"> L_BA = −0.0011, L_BC = −0.0544; point ΔP_B &lt; point ΔP_C triggers the pre-registered priority-1 condition → </w:t>
      </w:r>
      <w:r>
        <w:rPr>
          <w:rFonts w:ascii="Times New Roman" w:hAnsi="Times New Roman" w:eastAsia="Times New Roman"/>
          <w:b/>
          <w:sz w:val="24"/>
        </w:rPr>
        <w:t>REVERSAL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Positivity diagnostic (per the pre-registered positivity rule):</w:t>
      </w:r>
      <w:r>
        <w:rPr>
          <w:rFonts w:ascii="Times New Roman" w:hAnsi="Times New Roman" w:eastAsia="Times New Roman"/>
          <w:sz w:val="24"/>
        </w:rPr>
        <w:t xml:space="preserve"> Counterfactual A and C trivially preserve positivity. Counterfactual B's flagged-weight share = 44.5%; the pre-registered downgrade rule is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Hypothesis classification follows the pre-registered specification (the four-tier hierarchy for H1 and the IUT priority cascade for 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Externally validated in Tokiwa (2026) on the N=13,668 source sample; not separately re-tested in the present N=354 pipeline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EXTERNALLY 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the pre-registered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0.01). The 14-cell vs 28-cell sensitivity (28-cell adds × 2 roles, not a re-split of gender) is reported as a robustness check on role-stratification stability rather than as a re-test of gender invariance.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All figures are saved at 300 DPI in PNG and PDF formats; vector versions (SVG) are also produced for journal submission. PNG embeds are used in </w:t>
      </w:r>
      <w:r>
        <w:rPr>
          <w:rFonts w:ascii="Times New Roman" w:hAnsi="Times New Roman" w:eastAsia="Times New Roman"/>
          <w:sz w:val="24"/>
        </w:rPr>
        <w:t>manuscript_preprint.docx</w:t>
      </w:r>
      <w:r>
        <w:rPr>
          <w:rFonts w:ascii="Times New Roman" w:hAnsi="Times New Roman" w:eastAsia="Times New Roman"/>
          <w:sz w:val="24"/>
        </w:rPr>
        <w:t xml:space="preserve"> and </w:t>
      </w:r>
      <w:r>
        <w:rPr>
          <w:rFonts w:ascii="Times New Roman" w:hAnsi="Times New Roman" w:eastAsia="Times New Roman"/>
          <w:sz w:val="24"/>
        </w:rPr>
        <w:t>manuscript_journal.docx</w:t>
      </w:r>
      <w:r>
        <w:rPr>
          <w:rFonts w:ascii="Times New Roman" w:hAnsi="Times New Roman" w:eastAsia="Times New Roman"/>
          <w:sz w:val="24"/>
        </w:rPr>
        <w:t>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