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(https://osf.io/79m5j/). The complete data extraction CSV, R and Python analysis scripts, pooled results, moderator analyses, sensitivity analyses, and the generating code for all tables and figures are deposited in the corresponding OSF components (01_protocol, 02_search, 04_extraction, 06_analysis).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(DOI: 10.17605/OSF.IO/E5W47) prior to data extraction. Following PRISMA 2020 reporting standards, 31 primary studies reporting associations between Big Five (or HEXACO) personality traits and academic achievement in online, blended, or MOOC environments were synthesized. Effect sizes were pooled using random-effects meta-analysis with Restricted Maximum Likelihood estimation and Hartung-Knapp-Sidik-Jonkman confidence-interval adjustment on the Fisher </w:t>
      </w:r>
      <w:r>
        <w:rPr>
          <w:rFonts w:ascii="Times New Roman" w:hAnsi="Times New Roman" w:eastAsia="Times New Roman"/>
          <w:i/>
          <w:sz w:val="24"/>
        </w:rPr>
        <w:t>z</w:t>
      </w:r>
      <w:r>
        <w:rPr>
          <w:rFonts w:ascii="Times New Roman" w:hAnsi="Times New Roman" w:eastAsia="Times New Roman"/>
          <w:sz w:val="24"/>
        </w:rPr>
        <w:t xml:space="preserve"> scale.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Pearson correlations to the primary achievement pool. Conscientiousness emerged as the strongest positive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The findings provide preliminary support for the Personality-Achievement Saturation Hypothesis (PASH) extended to technology-mediated learning and document novel cultural- and outcome-type-dependent shifts in the Extraversion-achievement association. Confidence in pooled estimates (GRADE) ranged from Moderate (Conscientiousness, Extraversion) to Low (Openness, Agreeableness, Neuroticism). Limitations include the modest </w:t>
      </w:r>
      <w:r>
        <w:rPr>
          <w:rFonts w:ascii="Times New Roman" w:hAnsi="Times New Roman" w:eastAsia="Times New Roman"/>
          <w:i/>
          <w:sz w:val="24"/>
        </w:rPr>
        <w:t>k</w:t>
      </w:r>
      <w:r>
        <w:rPr>
          <w:rFonts w:ascii="Times New Roman" w:hAnsi="Times New Roman" w:eastAsia="Times New Roman"/>
          <w:sz w:val="24"/>
        </w:rPr>
        <w:t xml:space="preserve"> (9–10 studies per trait) and the use of web-based rather than institutionally-licensed database searches. Online learning environments modify, but do not fundamentally transform, the well-established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w:t>
      </w:r>
      <w:r>
        <w:rPr>
          <w:rFonts w:ascii="Times New Roman" w:hAnsi="Times New Roman" w:eastAsia="Times New Roman"/>
          <w:i/>
          <w:sz w:val="24"/>
        </w:rPr>
        <w:t>r</w:t>
      </w:r>
      <w:r>
        <w:rPr>
          <w:rFonts w:ascii="Times New Roman" w:hAnsi="Times New Roman" w:eastAsia="Times New Roman"/>
          <w:sz w:val="24"/>
        </w:rPr>
        <w:t xml:space="preserve"> range = .068 to .49),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studies with </w:t>
      </w:r>
      <w:r>
        <w:rPr>
          <w:rFonts w:ascii="Times New Roman" w:hAnsi="Times New Roman" w:eastAsia="Times New Roman"/>
          <w:i/>
          <w:sz w:val="24"/>
        </w:rPr>
        <w:t>N</w:t>
      </w:r>
      <w:r>
        <w:rPr>
          <w:rFonts w:ascii="Times New Roman" w:hAnsi="Times New Roman" w:eastAsia="Times New Roman"/>
          <w:sz w:val="24"/>
        </w:rPr>
        <w:t xml:space="preserve"> &gt; 500 (Wang 2023 </w:t>
      </w:r>
      <w:r>
        <w:rPr>
          <w:rFonts w:ascii="Times New Roman" w:hAnsi="Times New Roman" w:eastAsia="Times New Roman"/>
          <w:i/>
          <w:sz w:val="24"/>
        </w:rPr>
        <w:t>N</w:t>
      </w:r>
      <w:r>
        <w:rPr>
          <w:rFonts w:ascii="Times New Roman" w:hAnsi="Times New Roman" w:eastAsia="Times New Roman"/>
          <w:sz w:val="24"/>
        </w:rPr>
        <w:t xml:space="preserve"> = 1,625; Yu 2021 </w:t>
      </w:r>
      <w:r>
        <w:rPr>
          <w:rFonts w:ascii="Times New Roman" w:hAnsi="Times New Roman" w:eastAsia="Times New Roman"/>
          <w:i/>
          <w:sz w:val="24"/>
        </w:rPr>
        <w:t>N</w:t>
      </w:r>
      <w:r>
        <w:rPr>
          <w:rFonts w:ascii="Times New Roman" w:hAnsi="Times New Roman" w:eastAsia="Times New Roman"/>
          <w:sz w:val="24"/>
        </w:rPr>
        <w:t xml:space="preserve"> = 1,152; Alkış &amp; Temizel 2018 </w:t>
      </w:r>
      <w:r>
        <w:rPr>
          <w:rFonts w:ascii="Times New Roman" w:hAnsi="Times New Roman" w:eastAsia="Times New Roman"/>
          <w:i/>
          <w:sz w:val="24"/>
        </w:rPr>
        <w:t>N</w:t>
      </w:r>
      <w:r>
        <w:rPr>
          <w:rFonts w:ascii="Times New Roman" w:hAnsi="Times New Roman" w:eastAsia="Times New Roman"/>
          <w:sz w:val="24"/>
        </w:rPr>
        <w:t xml:space="preserve"> = 316 online subset;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Rodrigues et al. 2024 </w:t>
      </w:r>
      <w:r>
        <w:rPr>
          <w:rFonts w:ascii="Times New Roman" w:hAnsi="Times New Roman" w:eastAsia="Times New Roman"/>
          <w:i/>
          <w:sz w:val="24"/>
        </w:rPr>
        <w:t>N</w:t>
      </w:r>
      <w:r>
        <w:rPr>
          <w:rFonts w:ascii="Times New Roman" w:hAnsi="Times New Roman" w:eastAsia="Times New Roman"/>
          <w:sz w:val="24"/>
        </w:rPr>
        <w:t xml:space="preserve"> = 260; Zheng &amp; Zheng 2023 </w:t>
      </w:r>
      <w:r>
        <w:rPr>
          <w:rFonts w:ascii="Times New Roman" w:hAnsi="Times New Roman" w:eastAsia="Times New Roman"/>
          <w:i/>
          <w:sz w:val="24"/>
        </w:rPr>
        <w:t>N</w:t>
      </w:r>
      <w:r>
        <w:rPr>
          <w:rFonts w:ascii="Times New Roman" w:hAnsi="Times New Roman" w:eastAsia="Times New Roman"/>
          <w:sz w:val="24"/>
        </w:rPr>
        <w:t xml:space="preserve"> = 282)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studies with </w:t>
      </w:r>
      <w:r>
        <w:rPr>
          <w:rFonts w:ascii="Times New Roman" w:hAnsi="Times New Roman" w:eastAsia="Times New Roman"/>
          <w:i/>
          <w:sz w:val="24"/>
        </w:rPr>
        <w:t>N</w:t>
      </w:r>
      <w:r>
        <w:rPr>
          <w:rFonts w:ascii="Times New Roman" w:hAnsi="Times New Roman" w:eastAsia="Times New Roman"/>
          <w:sz w:val="24"/>
        </w:rPr>
        <w:t xml:space="preserve"> &lt; 200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(https://osf.io/79m5j/), in the 06_analysis component.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w:t>
      </w:r>
      <w:r>
        <w:rPr>
          <w:rFonts w:ascii="Times New Roman" w:hAnsi="Times New Roman" w:eastAsia="Times New Roman"/>
          <w:i/>
          <w:sz w:val="24"/>
        </w:rPr>
        <w:t>SD</w:t>
      </w:r>
      <w:r>
        <w:rPr>
          <w:rFonts w:ascii="Times New Roman" w:hAnsi="Times New Roman" w:eastAsia="Times New Roman"/>
          <w:sz w:val="24"/>
        </w:rPr>
        <w:t xml:space="preserve">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Chinese samples in the primary corpus (Yu, 2021; Wang et al., 2023) showed amplified Agreeableness effects (converted </w:t>
      </w:r>
      <w:r>
        <w:rPr>
          <w:rFonts w:ascii="Times New Roman" w:hAnsi="Times New Roman" w:eastAsia="Times New Roman"/>
          <w:i/>
          <w:sz w:val="24"/>
        </w:rPr>
        <w:t>β</w:t>
      </w:r>
      <w:r>
        <w:rPr>
          <w:rFonts w:ascii="Times New Roman" w:hAnsi="Times New Roman" w:eastAsia="Times New Roman"/>
          <w:sz w:val="24"/>
        </w:rPr>
        <w:t xml:space="preserve"> = .442 and </w:t>
      </w:r>
      <w:r>
        <w:rPr>
          <w:rFonts w:ascii="Times New Roman" w:hAnsi="Times New Roman" w:eastAsia="Times New Roman"/>
          <w:i/>
          <w:sz w:val="24"/>
        </w:rPr>
        <w:t>β</w:t>
      </w:r>
      <w:r>
        <w:rPr>
          <w:rFonts w:ascii="Times New Roman" w:hAnsi="Times New Roman" w:eastAsia="Times New Roman"/>
          <w:sz w:val="24"/>
        </w:rPr>
        <w:t xml:space="preserve"> = .112, respectively), contributing to the higher pooled estimate; this is explored in the region moderator analysis.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Primary-study signs were mixed: Rodrigues et al. (2024) and Baruth and Cohen (2022/2023) reported negative associations with satisfaction or well-being, whereas Yu (2021) reported a weakly positive association, and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.066) and Rivers (2021) as influential for Extraversion (removal shifted </w:t>
      </w:r>
      <w:r>
        <w:rPr>
          <w:rFonts w:ascii="Times New Roman" w:hAnsi="Times New Roman" w:eastAsia="Times New Roman"/>
          <w:i/>
          <w:sz w:val="24"/>
        </w:rPr>
        <w:t>r</w:t>
      </w:r>
      <w:r>
        <w:rPr>
          <w:rFonts w:ascii="Times New Roman" w:hAnsi="Times New Roman" w:eastAsia="Times New Roman"/>
          <w:sz w:val="24"/>
        </w:rPr>
        <w:t xml:space="preserve">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by Chinese and Middle Eastern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w:t>
      </w:r>
      <w:r>
        <w:rPr>
          <w:rFonts w:ascii="Times New Roman" w:hAnsi="Times New Roman" w:eastAsia="Times New Roman"/>
          <w:i/>
          <w:sz w:val="24"/>
        </w:rPr>
        <w:t>β</w:t>
      </w:r>
      <w:r>
        <w:rPr>
          <w:rFonts w:ascii="Times New Roman" w:hAnsi="Times New Roman" w:eastAsia="Times New Roman"/>
          <w:sz w:val="24"/>
        </w:rPr>
        <w:t xml:space="preserve"> = .442; A-26 Wang et al., 2023, </w:t>
      </w:r>
      <w:r>
        <w:rPr>
          <w:rFonts w:ascii="Times New Roman" w:hAnsi="Times New Roman" w:eastAsia="Times New Roman"/>
          <w:i/>
          <w:sz w:val="24"/>
        </w:rPr>
        <w:t>β</w:t>
      </w:r>
      <w:r>
        <w:rPr>
          <w:rFonts w:ascii="Times New Roman" w:hAnsi="Times New Roman" w:eastAsia="Times New Roman"/>
          <w:sz w:val="24"/>
        </w:rPr>
        <w:t xml:space="preserve"> to engagement = .112) and by Israeli samples (A-12 Baruth &amp; Cohen, 2022/2023, </w:t>
      </w:r>
      <w:r>
        <w:rPr>
          <w:rFonts w:ascii="Times New Roman" w:hAnsi="Times New Roman" w:eastAsia="Times New Roman"/>
          <w:i/>
          <w:sz w:val="24"/>
        </w:rPr>
        <w:t>ρ</w:t>
      </w:r>
      <w:r>
        <w:rPr>
          <w:rFonts w:ascii="Times New Roman" w:hAnsi="Times New Roman" w:eastAsia="Times New Roman"/>
          <w:sz w:val="24"/>
        </w:rPr>
        <w:t xml:space="preserve"> = .458 with satisfaction). These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Wang et al., 2023; Kaspar et al., 2023; Mustafa et al., 2022)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Jackson et al., 2010).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include_secondary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Inc = included in primary achievement pool; Inc (COI) = included with conflict-of-interest flag; Inc* = included with caveat; Exc-pri = excluded from primary but retained for secondary pool or narrative; Exc-dup = excluded due to sample overlap with another included study; Exc = excluded at eligibility. RoB = aggregate score on the Joanna Briggs Institute 8-item critical appraisal checklist (0–8; higher = lower risk). A-14 Eilam (2009) and A-27 Wu &amp; Yu (2024) are omitted because the former was excluded at the modality screening stage and the latter was not available as a retrievable PDF; both are disclosed in the PRISMA flow.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[.076, .217]</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[.126, .319]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[−.068, .246]</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[−.027, .170]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[−.134, .060]</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[.017, .214]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[−.088, .336]</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[−.056, .137]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[−.154, .137]</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[−.142, .364]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[.095, .307]</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[.099, .262]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[−.127, .184]</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[−.040, .228]</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[−.081, .117]</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[−.080, .086]</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[−.089, .219]</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[−.028, .273]</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[−.165, .082]</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[−.084, .121]</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Seven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31 remaining studies were included in the systematic review; 10 contributed direct Pearson correlations to the primary achievement pool, 4 contributed β-converted effect sizes via Peterson and Brown's (2005) approximation, and 17 were retained for secondary analyses or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