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Mixed-effects meta-regression was used to test pre-specified categorical and continuous moderators within each trait pool. Full results are presented in Table 3 [placeholder]. As indicated by the k-per-level requirement specified in the pre-registration, moderator analyses were restricted to those moderators with at least 10 contributing effect sizes per level; moderators failing this criterion are reported narratively.</w:t>
      </w:r>
    </w:p>
    <w:p>
      <w:pPr>
        <w:spacing w:line="480" w:lineRule="auto" w:before="0" w:after="0"/>
        <w:ind w:firstLine="720"/>
      </w:pPr>
      <w:r>
        <w:rPr>
          <w:rFonts w:ascii="Times New Roman" w:hAnsi="Times New Roman" w:eastAsia="Times New Roman"/>
          <w:sz w:val="24"/>
        </w:rPr>
        <w:t>Learning modality. Modality significantly moderated the Conscientiousness effect (QM([df_mod_C]) = [QM_mod_C], p = [p_mod_C]), with [pattern summary—e.g., "fully online asynchronous contexts showing a stronger C effect than blended contexts"]. Modality moderation was [significant / non-significant] for Openness, Extraversion, Agreeableness, and Neuroticism. The pattern [was / was not] consistent with the theoretical prediction that asynchronous, low-social-presence modalities would amplify Conscientiousness and attenuate Extraversion effects.</w:t>
      </w:r>
    </w:p>
    <w:p>
      <w:pPr>
        <w:spacing w:line="480" w:lineRule="auto" w:before="0" w:after="0"/>
        <w:ind w:firstLine="720"/>
      </w:pPr>
      <w:r>
        <w:rPr>
          <w:rFonts w:ascii="Times New Roman" w:hAnsi="Times New Roman" w:eastAsia="Times New Roman"/>
          <w:sz w:val="24"/>
        </w:rPr>
        <w:t>Education level. Education level moderated [trait(s)] (QM = [value]). Consistent with Mammadov (2022) and Meyer et al. (2023), the Openness effect [declined / did not decline] significantly from lower to higher education levels. The Conscientiousness effect [remained stable / varied] across education levels. The limited number of K-12 studies in the online corpus ([n_K12]) restricts inference at the lowest education level; this is acknowledged in the Discussion.</w:t>
      </w:r>
    </w:p>
    <w:p>
      <w:pPr>
        <w:spacing w:line="480" w:lineRule="auto" w:before="0" w:after="0"/>
        <w:ind w:firstLine="720"/>
      </w:pPr>
      <w:r>
        <w:rPr>
          <w:rFonts w:ascii="Times New Roman" w:hAnsi="Times New Roman" w:eastAsia="Times New Roman"/>
          <w:sz w:val="24"/>
        </w:rPr>
        <w:t>Region and era. Regional moderation [showed / did not show] the amplified Asian-sample pattern reported by Mammadov (2022) and Chen et al. (2025): pooled C in Asian samples was r = [r_C_Asia] versus r = [r_C_NonAsia] elsewhere. Era moderation (pre-COVID vs. COVID-era vs. post-COVID) [was / was not] significant for [trait(s)], with [pattern summary—e.g., "C effects larger in COVID-era studies, potentially reflecting the heightened self-regulation demands of emergency remote teaching"]. Personality instrument, publication year (continuous), log-transformed sample size, and risk-of-bias score contributed [effect summary] (see Table 3).</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The seven pre-specified sensitivity analyses are summarized in Table 4 [placeholder]. (a) Excluding studies with risk-of-bias aggregate score below 5 [changed / did not substantially change] the pooled estimates (e.g., pooled C shifted from [r_C] to [r_C_highquality]). (b) Excluding the present author's own prior primary study (Tokiwa, 2025) [changed / did not change] the pattern of findings. (c) Excluding converted effect sizes (β-to-r, d-to-r) [had / had no] substantive effect. (d) Excluding studies with N &lt; 50 [affected / did not affect] pooled estimates. (e) The two alternative HEXACO-to-Big-Five mappings produced [consistent / inconsistent] results, [supporting / not supporting] the primary mapping protocol. (f) Leave-one-out analysis identified [n_influential] potentially influential studies with Cook's distance &gt; 1 or |DFFITS| &gt; 3√(p/k); exclusion of these [did / did not] alter the pooled estimates beyond the 95% confidence interval. (g) Substituting the DerSimonian-Laird estimator for REML produced [nearly identical / slightly different] pooled effects, confirming [robustness / partial dependence on] estimator choice.</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 7 [placeholder]. Egger's regression asymmetry test yielded [results summary per trait]: Conscientiousness intercept = [intercept_C], p = [p_Egger_C]; Openness intercept = [intercept_O], p = [p_Egger_O]; Extraversion intercept = [intercept_E], p = [p_Egger_E]; Agreeableness intercept = [intercept_A], p = [p_Egger_A]; Neuroticism intercept = [intercept_N], p = [p_Egger_N]. Peters' regression, an alternative specification for correlation effect sizes, yielded [convergent / divergent] conclusions.</w:t>
      </w:r>
    </w:p>
    <w:p>
      <w:pPr>
        <w:spacing w:line="480" w:lineRule="auto" w:before="0" w:after="0"/>
        <w:ind w:firstLine="720"/>
      </w:pPr>
      <w:r>
        <w:rPr>
          <w:rFonts w:ascii="Times New Roman" w:hAnsi="Times New Roman" w:eastAsia="Times New Roman"/>
          <w:sz w:val="24"/>
        </w:rPr>
        <w:t>Duval and Tweedie's (2000) trim-and-fill procedure imputed [n_imputed] additional studies across the five trait pools, producing back-adjusted pooled effects that [did / did not] differ meaningfully from the primary estimates. P-curve analysis (Simonsohn et al., 2014) indicated [evidential value / flat curve / right-skew suggestive of no effect] for significant findings in the literature, [supporting / weakening] confidence in the non-null pooled effects. Overall, the evidence for publication bias was [substantial / moderate / minimal], consistent with partial grey-literature inclusion in the primary search and with the pattern documented by Mammadov (2022) in the broader Big Five–achievement literature.</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was derived from the five pre-specified domains and is presented in Table 5 [placeholder: Summary of Findings]. Confidence in the pooled Conscientiousness–achievement association was rated as [High / Moderate / Low / Very Low], based on [risk of bias / inconsistency / indirectness / imprecision / publication bias] considerations. Openness confidence: [rating]. Extraversion: [rating]. Agreeableness: [rating]. Neuroticism: [rating]. The trait pool with the largest magnitude pooled effect (Conscientiousness, |r| ≥ .30) [did / did not] warrant an upgrade under the large-magnitude criterion, and no dose-response (facet-level) gradient analysis was possible given the limited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[n_included] included primary studies (total pooled N = [N_total]), the pooled correlation between Conscientiousness and online academic achievement was r = [r_C] (95% CI [[ci_lo_C], [ci_hi_C]]), with comparable estimates for Openness (r = [r_O]), Extraversion (r = [r_E]), Agreeableness (r = [r_A]), and Neuroticism (r = [r_N]). The pattern of pooled effects was [broadly consistent with / partially divergent from] established face-to-face benchmarks, with [summary of the most important modality-specific findings—e.g., a stronger Openness effect in online contexts; a negative Extraversion effect in fully online asynchronous settings; and an amplified Agreeableness effect in collectivistic cultural contexts].</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[r_C] [fell within / fell below / exceeded] the pre-specified range of .20 to .35. H1 is therefore [supported / partially supported / not supported]. The magnitude of the C effect in online environments was [comparable to / larger than / smaller than] the face-to-face benchmarks reported by Poropat (2009; ρ = .22), McAbee and Oswald (2013; ρ = .26), Vedel (2014; ρ = .26), Mammadov (2022; ρ = .27), and Chen et al. (2025; r = .206), [consistent with / inconsistent with] the expectation that the self-regulation demands of online learning would preserve or amplify the Conscientiousness advantage.</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[r_O]) [was / was not] the second-largest positive effect in the present synthesis. Compared with the face-to-face benchmarks (Mammadov, 2022; ρ = .16; Meyer et al., 2023; ρ = .21), the online estimate was [larger / comparable / smaller], [supporting / not supporting] the prediction that online environments place a premium on self-directed exploration. [If supported: The enlarged Openness effect converges with the theoretical mechanism proposed by Meyer et al. (2023) under the Personality-Achievement Saturation Hypothesis, extended to technology-mediated settings.]</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[r_A], [consistent with / inconsistent with] the face-to-face benchmark range of .05 to .10. H3 is [supported / partially supported / not supported]. The pattern was strongly moderated by region: in Asian samples, Agreeableness effects were substantially larger (r = [r_A_Asia]), replicating the pattern reported by Mammadov (2022) and Yu (2021). This finding suggests that the cooperative-learning premium in collectivistic cultural contexts may offset the general prediction of weaker Agreeableness effects in asynchronous online environments.</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[r_N], and the modality moderator analysis [did / did not] reveal a more negative effect in fully online than in blended modalities. H4 is [supported / partially supported / not supported]. [If supported: The pattern converges with Rodrigues et al. (2024) and with the theoretical mechanism that isolation and technology-related stressors disproportionately affect anxious learners.]</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[r_E], [consistent with / inconsistent with] the prediction of a null or weak negative effect. H5 [is / is not] supported. [If supported: The finding that Extraversion was negatively associated with achievement in asynchronous online environments—most clearly in Rivers (2021), Yu (2021), and Wang et al. (2023)—represents the first meta-analytic evidence for a directional shift in the Extraversion effect attributable to learning modality, extending the near-null face-to-face estimate (Poropat, 2009; Chen et al., 2025) toward a meaningfully negative pattern.]</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[preserved / reduced / amplified] Conscientiousness effect in online environments [supports / complicates] the Personality-Achievement Saturation Hypothesis (Meyer et al., 2023), which posits that Conscientiousness is channeled into academic outcomes through behavioral signals visible to graders. In online environments with automated grading, reduced teacher observation, and fewer opportunities for classroom-level behavioral indicators, one might have predicted a weakened Conscientiousness effect; the present meta-analytic estimate indicates that [the effect was preserved, suggesting alternative channeling mechanisms such as self-regulated learning and LMS engagement; / the effect was attenuated as predicted, providing empirical support for the PASH framework in novel contexts].</w:t>
      </w:r>
    </w:p>
    <w:p>
      <w:pPr>
        <w:spacing w:line="480" w:lineRule="auto" w:before="0" w:after="0"/>
        <w:ind w:firstLine="720"/>
      </w:pPr>
      <w:r>
        <w:rPr>
          <w:rFonts w:ascii="Times New Roman" w:hAnsi="Times New Roman" w:eastAsia="Times New Roman"/>
          <w:sz w:val="24"/>
        </w:rPr>
        <w:t>Second, the [null / negative / positive] pooled Extraversion effect in online environments contributes to a nuanced view of how social presence moderates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estimate [converges with / diverges from] this pattern, providing [preliminary / strong] evidence that asynchronous, low-social-presence modalities can shift the direction of the Extraversion effect. This finding aligns with the social-presence theory of online learning (Garrison, Anderson, &amp; Archer, 2000) and with person-environment fit models of personality expression in technology-mediated contexts.</w:t>
      </w:r>
    </w:p>
    <w:p>
      <w:pPr>
        <w:spacing w:line="480" w:lineRule="auto" w:before="0" w:after="0"/>
        <w:ind w:firstLine="720"/>
      </w:pPr>
      <w:r>
        <w:rPr>
          <w:rFonts w:ascii="Times New Roman" w:hAnsi="Times New Roman" w:eastAsia="Times New Roman"/>
          <w:sz w:val="24"/>
        </w:rPr>
        <w:t>Third, the cultural moderator findings—amplified Conscientiousness and Agreeableness effects in Asian samples—replicate Mammadov (2022) and Chen et al. (2025) in the online context. This convergence suggests that the cultural mechanism documented in face-to-face samples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[revealed / did not reveal] meaningful pre-COVID, COVID-era, and post-COVID differences in the personality-achievement association. [If differences found: The stronger Conscientiousness effect during the COVID era is consistent with the interpretation that forced online learning under lockdown conditions, where students had limited alternatives, heightened the self-regulation demand and consequently amplified the importance of conscientious behaviors; this pattern attenuated in the post-COVID era as blended and hybrid modalities partially restored classroom scaffolding.]</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 amplified] role of Conscientiousness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the [negative / null] Extraversion effect suggests that learners who thrive on social interaction may be systematically disadvantaged.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w:t>
      </w:r>
    </w:p>
    <w:p>
      <w:pPr>
        <w:spacing w:line="480" w:lineRule="auto" w:before="0" w:after="0"/>
        <w:ind w:firstLine="720"/>
      </w:pPr>
      <w:r>
        <w:rPr>
          <w:rFonts w:ascii="Times New Roman" w:hAnsi="Times New Roman" w:eastAsia="Times New Roman"/>
          <w:sz w:val="24"/>
        </w:rPr>
        <w:t>For learners themselves and the academic advisors who support them, the amplified role of Openness in online environments underscores the value of exploration-oriented habits: seeking out supplementary resources, engaging with novel digital tools, and framing assignments as opportunities for intellectual exploration rather than compliance tasks. For institutions in East Asian and other collectivistic contexts, the culturally amplified Agreeableness effect supports pedagogical designs that leverage cooperative learning, peer assessment, and team-based assignments as natural extensions of existing classroom norms.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[confirm / qualify / extend] the face-to-face pattern of a dominant Conscientiousness effect, secondary Openness effect, and near-null Extraversion, Agreeableness, and Neuroticism effects, while [documenting / suggesting] meaningful modality-specific divergences in the directional pattern of Extraversion and the cultural moderation of Agreeableness. The Personality-Achievement Saturation Hypothesis (Meyer et al., 2023) is extended to technology-mediated learning, and the role of self-efficacy and self-regulation as mediators is highlighted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