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Personality Interventions Don't Work; Structural Ones Do: Counterfactual Evidence from a HEXACO 7-Typology Workplace Harassment Microsimulation in Japan,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locked 2026-05-21).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MHLW Labor Force Survey 2022 marginals, we tested three pre-registered counterfactual interventions: (A) personality intervention shifting Honesty-Humility, Agreeableness, and Emotionality by +0.3 SD; (B) cluster reassignment to three low-prevalence typologies; and (C) structural intervention reducing cell-level propensity by 20%, calibrated against three meta-analyses and the MHLW 2020-2023 Power Harassment Prevention Law natural experiment.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+3.54 percentage points (95% CI excluding zero). The classification is robust across all four pre-registered cultural attenuation factors (F = 0.3 to 1.0), including the conservative cross-cultural worst-case anchor. Numerically, the structural intervention's population-level effect is approximately 5.8×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2020-2023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2026-05-21) and disclosed in §2.2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The N = 354 individual-level data are available at OSF under IRB-approved data-sharing protocol; population reweighting data (MHLW Labor Force Survey 2022) are publicly archived in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section (§4.4)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IEEE-published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https://osf.io/3hxz6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