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Personality Interventions Don't Work; Structural Ones Do: Counterfactual Evidence from a HEXACO 7-Typology Workplace Harassment Microsimulation in Japan</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pPr>
        <w:spacing w:line="480" w:lineRule="auto" w:before="0" w:after="0"/>
        <w:ind w:firstLine="720"/>
      </w:pPr>
      <w:r>
        <w:rPr>
          <w:rFonts w:ascii="Times New Roman" w:hAnsi="Times New Roman" w:eastAsia="Times New Roman"/>
          <w:sz w:val="24"/>
        </w:rPr>
        <w:t>Submitted to: Royal Society Open Science (Stage 2 Registered Report). This manuscript implements the analysis pre-registered as v2.0 at OSF (https://osf.io/3y54u). Conditional acceptance based on Stage 1 review of the v2.0 protocol document is acknowledged in the cover letter.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2018).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Sleep &amp; Watts, 2024).</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2018),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2018)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(2018),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Sleep &amp; Watts, 2024).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2018; Escartín, 2016; Hodgins, MacCurtain, &amp; Mannix-McNamara, 2014; calibrated against MHLW 2020 Law natural experiment) into the same population-level prevalence metric used for the personality intervention (calibrated against Hudson &amp; Fraley, 2015; Sleep &amp; Watts, 2024).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F., &amp; Tanaka, K. (2010). Development of a Gender Harassment Scale for Japanese workers. Industrial Health, 48(2), 183–192. [Equivalent / placeholder citation; final version to verify against original Japanese-language publication.]</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(2018).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Sleep, C. E., &amp; Watts, A. L. (2024). Personality change interventions: A systematic review and meta-analysis. Personality Science, advance online publication. [Placeholder pending final publication; pre-print available at PsyArXiv.]</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Y. (2017). Development of a workplace power harassment scale [in Japanese]. Japanese Journal of Industrial-Organizational Psychology, [year/vol pending]. [Placeholder for original Japanese-language reference.]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Citations marked "[Placeholder ... pending]" require the investigator to verify the original publication metadata. The substantive content of the cited claim is not affected by the placeholder. 2. Tokiwa (2024, IEEE) and Tokiwa (2025, harassment preprint) are self-citations; final DOIs/URLs to be inserted at submission time. 3. MHLW survey series citations point to the Japanese government MHLW website; English-language summaries are available at the same URL with ?lang=en query parameter (verification recommended at submission time). 4. The Sleep &amp; Watts (2024) reference is forthcoming; if not yet published at submission time, the manuscript will substitute Hudson &amp; Fraley (2015) as the principal personality-change-intervention citation.</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MHLW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REVERSAL = L_BC &lt; 0 AND L_BA ≥ 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(cluster reassignment)</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0.0003, L_BC = −0.0413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45.8%;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All 14 cells resolved at BCa</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&gt; 0.80</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IEEE 7-cluster centroids; MHLW Labor Force Survey 2022) flowing through Stages 0–8 with their HDF5 outputs. To be generated as PNG/SVG by `simulation/code/report.py`.</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MHLW 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(Strict SUCCESS).*</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and cluster reassignment (B; do(cluster ∈ {0, 4, 6})) yield null effects (CIs cross zero). Structural intervention (C; −20% propensity, calibrated against three meta-analyses and the MHLW 2020 Law natural experiment) yields a positive effect of +3.54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simulation/code/report.py as simulation/output/figure1_pipeline.png.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