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Personality Interventions Don't Work; Structural Ones Do: Counterfactual Evidence from a HEXACO 7-Typology Workplace Harassment Microsimulation in Japan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Tables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1. H1 Four-Tier Classification of Mean Absolute Percentage Error (MAPE) Across Three MHLW Validation Periods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Predicted values are computed via 14-cell HEXACO 7-typology × gender propensity weighted by MHLW Labor Force Survey 2022 marginals. Bootstrap 95% CIs use B = 10,000 cell-stratified resamples (Methods Clarification m3). Tier classification per pre-registered four-tier hierarchy (v2.0 Section 5.4).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Period (MHLW)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Observed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Predicted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FY2016 (32.5%, primary)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0.325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[32.36, 59.30]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FY2020 (31.4%,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44.46%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[30.00, 57.88]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FY2023 (19.3%,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9.65%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[0.52, 31.52]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Strict SUCCESS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2. One-at-a-Time (OAT) Sensitivity Sweep Around the Locked v2.0 Main Configuration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Each row varies the indicated parameter family while holding remaining parameters at the v2.0 main configuration. B = 2,000 percentile CIs reported on FY2016 MAPE.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Value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main_v2.0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[31.5, 59.5]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mean+0.25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29.58%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[13.7, 45.2]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mean+0.5 SD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[30.5,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mean+1.0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48.95%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[34.0, 62.4]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45.04%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[43.8, 46.3]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45.22%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45.90%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[32.1, 58.7]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59.0]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45.80%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[32.3, 58.9]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56.47%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[42.8, 68.8]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34.55%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[16.6, 51.8]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3. Baseline Comparison for H2 Ordinal Trend Hypothesis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B0 trivially attains MAPE = 0 by construction (its prediction equals MHLW grand mean). H2 was tested via Bonferroni-Holm-corrected pairwise inequalities at one-sided α = 0.05 and Page's L (1963) ordinal trend test as auxiliary. **0 of 4 pairs were confirmed**; Page's L statistic *p* = 0.9757. H2 decision: ambiguous_or_reversed.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Baseline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Uniform = MHLW grand 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[0.0, 0.0]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Gender-only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45.35%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[45.4, 45.4]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HEXACO 6-domain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44.24%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[40.6, 47.7]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conditional (main pipeline)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[45.5, 45.5]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Extended (age + age × cluster)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[44.2, 48.5]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4. Counterfactual ΔP_x Estimates and H7 Intersection-Union Test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Counterfactual operationalization per pre-registered v2.0 Section 5.7. Positive ΔP indicates *reduction* in prevalence (sign convention). Bootstrap CIs use B = 2,000 cell-stratified resamples. The H7 IUT (Berger &amp; Hsu, 1996) computes one-sided 95% lower bounds L_BA and L_BC; classification: REVERSAL = L_BC &lt; 0 AND L_BA ≥ 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Intervention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Operationalization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 point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CI excludes 0?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 (personality)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← +0.3σ; A ← +0.3σ; E ← +0.3σ)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[−0.0199, +0.0054]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 (cluster reassignment)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do(cluster ∈ {0, 4, 6})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[−0.0199, +0.0056]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 (structural)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do(P_{c, x} ← 0.80 × P_{c, x})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+0.0354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[+0.0266, +0.0445]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Yes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**H7 IUT:** L_BA = 0.0003, L_BC = −0.0413 → **REVERSAL**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**Positivity diagnostic (Methods Clarification m5):** Counterfactual A and C trivially preserve positivity. Counterfactual B's flagged-weight share = 45.8%; m5 downgrade rule triggered. We interpret B's null finding as exploratory rather than confirmatory.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5. Transportability Sensitivity (H7 Re-classification Across Cultural Attenuation Factors)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Each row applies factor F multiplicatively to the bootstrap distribution of all three ΔP_x; H7 IUT is re-classified per attenuated factor.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Factor F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Anchor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ΔP_A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ΔP_C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Conservative cross-cultural worst case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−0.0018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Nielsen, Glasø, &amp; Einarsen 2017 expected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Mild attenuation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+0.0248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Reference (no attenuation)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+0.0354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6. Pre-Registered Hypothesis Outcomes Summary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*Note*. Hypothesis classification per v2.0 pre-registration master Section 5.4 (H1) and Section 5.7 (H7).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Hypothesis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Pre-registered prediction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MAPE_FY2016 ≤ 30% (Strict / Standard SUCCESS)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 = 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Monotonic B0 &gt; B1 &gt; B2 &gt; B3 &gt; 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 of 4 pairs confirmed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Centroid concordance N=354 vs N=13,668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Verified in centroid study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Per-cell propensity stability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All 14 cells resolved at BCa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 invariance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vs 28-cell stable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Power × gender harassment cluster ranking concordance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 &gt; 0.80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IUT classification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 (robust F=0.3–1.0)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All figures are saved at 300 DPI in PNG and PDF formats; vector versions (SVG) are also produced for journal submission. PNG embeds are used in `manuscript_preprint.docx` and `manuscript_journal.docx`; PDF/SVG accompany the journal submission as separate files (per RSOS Stage 2 RR submission requirements).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