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480" w:lineRule="auto" w:before="0" w:after="0"/>
      </w:pPr>
      <w:r>
        <w:t>Abstract</w:t>
      </w:r>
    </w:p>
    <w:p>
      <w:pPr>
        <w:spacing w:line="480" w:lineRule="auto" w:before="0" w:after="0"/>
      </w:pPr>
      <w:r>
        <w:rPr>
          <w:rFonts w:ascii="Times New Roman" w:hAnsi="Times New Roman" w:eastAsia="Times New Roman"/>
          <w:sz w:val="24"/>
        </w:rPr>
        <w:t xml:space="preserve">Academic achievement in online learning environments has become a central concern for post-secondary education following the global shift toward digital instruction, yet existing meta-analyses of Big Five personality traits and academic performance have pooled samples across face-to-face, blended, and online modalities without testing delivery mode as a substantive moderator. The present systematic review and meta-analysis is the first quantitative synthesis dedicated to online learning environments. The review was pre-registered on OSF Registries (DOI: 10.17605/OSF.IO/E5W47) prior to data extraction. Following PRISMA 2020 reporting standards, 31 primary studies reporting associations between Big Five (or HEXACO) personality traits and academic achievement in online, blended, or MOOC environments were synthesized. Effect sizes were pooled using random-effects meta-analysis with Restricted Maximum Likelihood estimation and Hartung-Knapp-Sidik-Jonkman confidence-interval adjustment on the Fisher </w:t>
      </w:r>
      <w:r>
        <w:rPr>
          <w:rFonts w:ascii="Times New Roman" w:hAnsi="Times New Roman" w:eastAsia="Times New Roman"/>
          <w:i/>
          <w:sz w:val="24"/>
        </w:rPr>
        <w:t>z</w:t>
      </w:r>
      <w:r>
        <w:rPr>
          <w:rFonts w:ascii="Times New Roman" w:hAnsi="Times New Roman" w:eastAsia="Times New Roman"/>
          <w:sz w:val="24"/>
        </w:rPr>
        <w:t xml:space="preserve"> scale. Ten studies (pooled </w:t>
      </w:r>
      <w:r>
        <w:rPr>
          <w:rFonts w:ascii="Times New Roman" w:hAnsi="Times New Roman" w:eastAsia="Times New Roman"/>
          <w:i/>
          <w:sz w:val="24"/>
        </w:rPr>
        <w:t>N</w:t>
      </w:r>
      <w:r>
        <w:rPr>
          <w:rFonts w:ascii="Times New Roman" w:hAnsi="Times New Roman" w:eastAsia="Times New Roman"/>
          <w:sz w:val="24"/>
        </w:rPr>
        <w:t xml:space="preserve"> = 3,384) contributed direct Pearson correlations to the primary achievement pool. Conscientiousness emerged as the strongest positive predictor (pooled </w:t>
      </w:r>
      <w:r>
        <w:rPr>
          <w:rFonts w:ascii="Times New Roman" w:hAnsi="Times New Roman" w:eastAsia="Times New Roman"/>
          <w:i/>
          <w:sz w:val="24"/>
        </w:rPr>
        <w:t>r</w:t>
      </w:r>
      <w:r>
        <w:rPr>
          <w:rFonts w:ascii="Times New Roman" w:hAnsi="Times New Roman" w:eastAsia="Times New Roman"/>
          <w:sz w:val="24"/>
        </w:rPr>
        <w:t xml:space="preserve"> = .167, 95% CI [.089, .243]; </w:t>
      </w:r>
      <w:r>
        <w:rPr>
          <w:rFonts w:ascii="Times New Roman" w:hAnsi="Times New Roman" w:eastAsia="Times New Roman"/>
          <w:i/>
          <w:sz w:val="24"/>
        </w:rPr>
        <w:t>I²</w:t>
      </w:r>
      <w:r>
        <w:rPr>
          <w:rFonts w:ascii="Times New Roman" w:hAnsi="Times New Roman" w:eastAsia="Times New Roman"/>
          <w:sz w:val="24"/>
        </w:rPr>
        <w:t xml:space="preserve"> = 65.1%), followed by Agreeableness (</w:t>
      </w:r>
      <w:r>
        <w:rPr>
          <w:rFonts w:ascii="Times New Roman" w:hAnsi="Times New Roman" w:eastAsia="Times New Roman"/>
          <w:i/>
          <w:sz w:val="24"/>
        </w:rPr>
        <w:t>r</w:t>
      </w:r>
      <w:r>
        <w:rPr>
          <w:rFonts w:ascii="Times New Roman" w:hAnsi="Times New Roman" w:eastAsia="Times New Roman"/>
          <w:sz w:val="24"/>
        </w:rPr>
        <w:t xml:space="preserve"> = .112 [−.031, .250]), Openness (</w:t>
      </w:r>
      <w:r>
        <w:rPr>
          <w:rFonts w:ascii="Times New Roman" w:hAnsi="Times New Roman" w:eastAsia="Times New Roman"/>
          <w:i/>
          <w:sz w:val="24"/>
        </w:rPr>
        <w:t>r</w:t>
      </w:r>
      <w:r>
        <w:rPr>
          <w:rFonts w:ascii="Times New Roman" w:hAnsi="Times New Roman" w:eastAsia="Times New Roman"/>
          <w:sz w:val="24"/>
        </w:rPr>
        <w:t xml:space="preserve"> = .086 [−.044, .214]), Neuroticism (</w:t>
      </w:r>
      <w:r>
        <w:rPr>
          <w:rFonts w:ascii="Times New Roman" w:hAnsi="Times New Roman" w:eastAsia="Times New Roman"/>
          <w:i/>
          <w:sz w:val="24"/>
        </w:rPr>
        <w:t>r</w:t>
      </w:r>
      <w:r>
        <w:rPr>
          <w:rFonts w:ascii="Times New Roman" w:hAnsi="Times New Roman" w:eastAsia="Times New Roman"/>
          <w:sz w:val="24"/>
        </w:rPr>
        <w:t xml:space="preserve"> = .018 [−.079, .114]), and Extraversion (</w:t>
      </w:r>
      <w:r>
        <w:rPr>
          <w:rFonts w:ascii="Times New Roman" w:hAnsi="Times New Roman" w:eastAsia="Times New Roman"/>
          <w:i/>
          <w:sz w:val="24"/>
        </w:rPr>
        <w:t>r</w:t>
      </w:r>
      <w:r>
        <w:rPr>
          <w:rFonts w:ascii="Times New Roman" w:hAnsi="Times New Roman" w:eastAsia="Times New Roman"/>
          <w:sz w:val="24"/>
        </w:rPr>
        <w:t xml:space="preserve"> = .002 [−.076, .080]). Two pre-registered moderator effects were highly significant: Extraversion × Region (Asian samples </w:t>
      </w:r>
      <w:r>
        <w:rPr>
          <w:rFonts w:ascii="Times New Roman" w:hAnsi="Times New Roman" w:eastAsia="Times New Roman"/>
          <w:i/>
          <w:sz w:val="24"/>
        </w:rPr>
        <w:t>r</w:t>
      </w:r>
      <w:r>
        <w:rPr>
          <w:rFonts w:ascii="Times New Roman" w:hAnsi="Times New Roman" w:eastAsia="Times New Roman"/>
          <w:sz w:val="24"/>
        </w:rPr>
        <w:t xml:space="preserve"> = −.131 vs. non-Asian </w:t>
      </w:r>
      <w:r>
        <w:rPr>
          <w:rFonts w:ascii="Times New Roman" w:hAnsi="Times New Roman" w:eastAsia="Times New Roman"/>
          <w:i/>
          <w:sz w:val="24"/>
        </w:rPr>
        <w:t>r</w:t>
      </w:r>
      <w:r>
        <w:rPr>
          <w:rFonts w:ascii="Times New Roman" w:hAnsi="Times New Roman" w:eastAsia="Times New Roman"/>
          <w:sz w:val="24"/>
        </w:rPr>
        <w:t xml:space="preserve"> = .050; </w:t>
      </w:r>
      <w:r>
        <w:rPr>
          <w:rFonts w:ascii="Times New Roman" w:hAnsi="Times New Roman" w:eastAsia="Times New Roman"/>
          <w:i/>
          <w:sz w:val="24"/>
        </w:rPr>
        <w:t>Q_between</w:t>
      </w:r>
      <w:r>
        <w:rPr>
          <w:rFonts w:ascii="Times New Roman" w:hAnsi="Times New Roman" w:eastAsia="Times New Roman"/>
          <w:sz w:val="24"/>
        </w:rPr>
        <w:t xml:space="preserve"> = 46.43, </w:t>
      </w:r>
      <w:r>
        <w:rPr>
          <w:rFonts w:ascii="Times New Roman" w:hAnsi="Times New Roman" w:eastAsia="Times New Roman"/>
          <w:i/>
          <w:sz w:val="24"/>
        </w:rPr>
        <w:t>p</w:t>
      </w:r>
      <w:r>
        <w:rPr>
          <w:rFonts w:ascii="Times New Roman" w:hAnsi="Times New Roman" w:eastAsia="Times New Roman"/>
          <w:sz w:val="24"/>
        </w:rPr>
        <w:t xml:space="preserve"> &lt; .001) and Extraversion × Outcome Type (objective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 </w:t>
      </w:r>
      <w:r>
        <w:rPr>
          <w:rFonts w:ascii="Times New Roman" w:hAnsi="Times New Roman" w:eastAsia="Times New Roman"/>
          <w:i/>
          <w:sz w:val="24"/>
        </w:rPr>
        <w:t>Q_between</w:t>
      </w:r>
      <w:r>
        <w:rPr>
          <w:rFonts w:ascii="Times New Roman" w:hAnsi="Times New Roman" w:eastAsia="Times New Roman"/>
          <w:sz w:val="24"/>
        </w:rPr>
        <w:t xml:space="preserve"> = 17.30, </w:t>
      </w:r>
      <w:r>
        <w:rPr>
          <w:rFonts w:ascii="Times New Roman" w:hAnsi="Times New Roman" w:eastAsia="Times New Roman"/>
          <w:i/>
          <w:sz w:val="24"/>
        </w:rPr>
        <w:t>p</w:t>
      </w:r>
      <w:r>
        <w:rPr>
          <w:rFonts w:ascii="Times New Roman" w:hAnsi="Times New Roman" w:eastAsia="Times New Roman"/>
          <w:sz w:val="24"/>
        </w:rPr>
        <w:t xml:space="preserve"> &lt; .001). The findings provide preliminary support for the Personality-Achievement Saturation Hypothesis (PASH) extended to technology-mediated learning and document novel cultural- and outcome-type-dependent shifts in the Extraversion-achievement association. Confidence in pooled estimates (GRADE) ranged from Moderate (Conscientiousness, Extraversion) to Low (Openness, Agreeableness, Neuroticism). Limitations include the modest </w:t>
      </w:r>
      <w:r>
        <w:rPr>
          <w:rFonts w:ascii="Times New Roman" w:hAnsi="Times New Roman" w:eastAsia="Times New Roman"/>
          <w:i/>
          <w:sz w:val="24"/>
        </w:rPr>
        <w:t>k</w:t>
      </w:r>
      <w:r>
        <w:rPr>
          <w:rFonts w:ascii="Times New Roman" w:hAnsi="Times New Roman" w:eastAsia="Times New Roman"/>
          <w:sz w:val="24"/>
        </w:rPr>
        <w:t xml:space="preserve"> (9–10 studies per trait) and the use of web-based rather than institutionally-licensed database searches. Online learning environments modify, but do not fundamentally transform, the well-established personality-achievement pattern; the most theoretically important divergences concern Extraversion and are structured by cultural context and outcome methodology.</w:t>
      </w:r>
    </w:p>
    <w:p>
      <w:pPr>
        <w:spacing w:line="480" w:lineRule="auto" w:before="0" w:after="0"/>
      </w:pPr>
    </w:p>
    <w:p>
      <w:pPr>
        <w:spacing w:line="480" w:lineRule="auto" w:before="0" w:after="0"/>
      </w:pPr>
      <w:r>
        <w:rPr>
          <w:rFonts w:ascii="Times New Roman" w:hAnsi="Times New Roman" w:eastAsia="Times New Roman"/>
          <w:sz w:val="24"/>
        </w:rPr>
        <w:t>Keywords: Big Five; Five-Factor Model; HEXACO; online learning; e-learning; MOOC; academic achievement; meta-analysis; systematic review; PRISMA</w:t>
      </w:r>
    </w:p>
    <w:p>
      <w:pPr>
        <w:pStyle w:val="Heading1"/>
        <w:spacing w:line="480" w:lineRule="auto" w:before="0" w:after="0"/>
      </w:pPr>
      <w:r>
        <w:t>Introduction</w:t>
      </w:r>
    </w:p>
    <w:p>
      <w:pPr>
        <w:spacing w:line="480" w:lineRule="auto" w:before="0" w:after="0"/>
        <w:ind w:firstLine="720"/>
      </w:pPr>
      <w:r>
        <w:rPr>
          <w:rFonts w:ascii="Times New Roman" w:hAnsi="Times New Roman" w:eastAsia="Times New Roman"/>
          <w:sz w:val="24"/>
        </w:rPr>
        <w:t>Academic performance in higher education has shifted dramatically in the past decade, first through the gradual adoption of learning management systems and massive open online courses, and then, abruptly, through the COVID-19 pandemic, which forced millions of students worldwide into fully online or blended learning environments. As of 2023, a substantial proportion of post-secondary instruction continues to be delivered online or in hybrid modalities, even in contexts where face-to-face teaching is again available. This structural shift raises a fundamental question: do the non-cognitive predictors of academic achievement that were established in face-to-face classrooms retain their predictive validity when instruction is mediated by technology? Personality traits, and in particular the Big Five (Five-Factor Model) dimensions of Conscientiousness, Openness to Experience, Extraversion, Agreeableness, and Neuroticism, are among the most widely studied non-cognitive predictors of academic achievement (Mammadov, 2022; Poropat, 2009). Yet the accumulated meta-analytic evidence, as reviewed below, has been produced almost entirely from samples in which delivery modality is treated as noise rather than as a substantive moderator. The present review is the first to address this gap quantitatively.</w:t>
      </w:r>
    </w:p>
    <w:p>
      <w:pPr>
        <w:pStyle w:val="Heading2"/>
        <w:spacing w:line="480" w:lineRule="auto" w:before="0" w:after="0"/>
      </w:pPr>
      <w:r>
        <w:t>Personality and Academic Achievement in Face-to-Face Contexts</w:t>
      </w:r>
    </w:p>
    <w:p>
      <w:pPr>
        <w:spacing w:line="480" w:lineRule="auto" w:before="0" w:after="0"/>
        <w:ind w:firstLine="720"/>
      </w:pPr>
      <w:r>
        <w:rPr>
          <w:rFonts w:ascii="Times New Roman" w:hAnsi="Times New Roman" w:eastAsia="Times New Roman"/>
          <w:sz w:val="24"/>
        </w:rPr>
        <w:t xml:space="preserve">Eight large-scale meta-analyses have established a robust pattern of associations between the Big Five personality traits and academic achievement. Poropat (2009), synthesizing 138 samples and over 70,000 participants, reported a corrected correlation of </w:t>
      </w:r>
      <w:r>
        <w:rPr>
          <w:rFonts w:ascii="Times New Roman" w:hAnsi="Times New Roman" w:eastAsia="Times New Roman"/>
          <w:i/>
          <w:sz w:val="24"/>
        </w:rPr>
        <w:t>ρ</w:t>
      </w:r>
      <w:r>
        <w:rPr>
          <w:rFonts w:ascii="Times New Roman" w:hAnsi="Times New Roman" w:eastAsia="Times New Roman"/>
          <w:sz w:val="24"/>
        </w:rPr>
        <w:t xml:space="preserve"> = .22 between Conscientiousness and academic performance, with smaller but significant effects for Openness (</w:t>
      </w:r>
      <w:r>
        <w:rPr>
          <w:rFonts w:ascii="Times New Roman" w:hAnsi="Times New Roman" w:eastAsia="Times New Roman"/>
          <w:i/>
          <w:sz w:val="24"/>
        </w:rPr>
        <w:t>ρ</w:t>
      </w:r>
      <w:r>
        <w:rPr>
          <w:rFonts w:ascii="Times New Roman" w:hAnsi="Times New Roman" w:eastAsia="Times New Roman"/>
          <w:sz w:val="24"/>
        </w:rPr>
        <w:t xml:space="preserve"> = .12) and Agreeableness (</w:t>
      </w:r>
      <w:r>
        <w:rPr>
          <w:rFonts w:ascii="Times New Roman" w:hAnsi="Times New Roman" w:eastAsia="Times New Roman"/>
          <w:i/>
          <w:sz w:val="24"/>
        </w:rPr>
        <w:t>ρ</w:t>
      </w:r>
      <w:r>
        <w:rPr>
          <w:rFonts w:ascii="Times New Roman" w:hAnsi="Times New Roman" w:eastAsia="Times New Roman"/>
          <w:sz w:val="24"/>
        </w:rPr>
        <w:t xml:space="preserve"> = .07), and essentially null effects for Extraversion (</w:t>
      </w:r>
      <w:r>
        <w:rPr>
          <w:rFonts w:ascii="Times New Roman" w:hAnsi="Times New Roman" w:eastAsia="Times New Roman"/>
          <w:i/>
          <w:sz w:val="24"/>
        </w:rPr>
        <w:t>ρ</w:t>
      </w:r>
      <w:r>
        <w:rPr>
          <w:rFonts w:ascii="Times New Roman" w:hAnsi="Times New Roman" w:eastAsia="Times New Roman"/>
          <w:sz w:val="24"/>
        </w:rPr>
        <w:t xml:space="preserve"> = −.01) and Neuroticism (</w:t>
      </w:r>
      <w:r>
        <w:rPr>
          <w:rFonts w:ascii="Times New Roman" w:hAnsi="Times New Roman" w:eastAsia="Times New Roman"/>
          <w:i/>
          <w:sz w:val="24"/>
        </w:rPr>
        <w:t>ρ</w:t>
      </w:r>
      <w:r>
        <w:rPr>
          <w:rFonts w:ascii="Times New Roman" w:hAnsi="Times New Roman" w:eastAsia="Times New Roman"/>
          <w:sz w:val="24"/>
        </w:rPr>
        <w:t xml:space="preserve"> = .02). These findings were replicated and extended by McAbee and Oswald (2013; </w:t>
      </w:r>
      <w:r>
        <w:rPr>
          <w:rFonts w:ascii="Times New Roman" w:hAnsi="Times New Roman" w:eastAsia="Times New Roman"/>
          <w:i/>
          <w:sz w:val="24"/>
        </w:rPr>
        <w:t>k</w:t>
      </w:r>
      <w:r>
        <w:rPr>
          <w:rFonts w:ascii="Times New Roman" w:hAnsi="Times New Roman" w:eastAsia="Times New Roman"/>
          <w:sz w:val="24"/>
        </w:rPr>
        <w:t xml:space="preserve"> = 57, </w:t>
      </w:r>
      <w:r>
        <w:rPr>
          <w:rFonts w:ascii="Times New Roman" w:hAnsi="Times New Roman" w:eastAsia="Times New Roman"/>
          <w:i/>
          <w:sz w:val="24"/>
        </w:rPr>
        <w:t>N</w:t>
      </w:r>
      <w:r>
        <w:rPr>
          <w:rFonts w:ascii="Times New Roman" w:hAnsi="Times New Roman" w:eastAsia="Times New Roman"/>
          <w:sz w:val="24"/>
        </w:rPr>
        <w:t xml:space="preserve"> = 26,382; C </w:t>
      </w:r>
      <w:r>
        <w:rPr>
          <w:rFonts w:ascii="Times New Roman" w:hAnsi="Times New Roman" w:eastAsia="Times New Roman"/>
          <w:i/>
          <w:sz w:val="24"/>
        </w:rPr>
        <w:t>ρ</w:t>
      </w:r>
      <w:r>
        <w:rPr>
          <w:rFonts w:ascii="Times New Roman" w:hAnsi="Times New Roman" w:eastAsia="Times New Roman"/>
          <w:sz w:val="24"/>
        </w:rPr>
        <w:t xml:space="preserve"> = .26) and by Vedel (2014; </w:t>
      </w:r>
      <w:r>
        <w:rPr>
          <w:rFonts w:ascii="Times New Roman" w:hAnsi="Times New Roman" w:eastAsia="Times New Roman"/>
          <w:i/>
          <w:sz w:val="24"/>
        </w:rPr>
        <w:t>k</w:t>
      </w:r>
      <w:r>
        <w:rPr>
          <w:rFonts w:ascii="Times New Roman" w:hAnsi="Times New Roman" w:eastAsia="Times New Roman"/>
          <w:sz w:val="24"/>
        </w:rPr>
        <w:t xml:space="preserve"> = 21, </w:t>
      </w:r>
      <w:r>
        <w:rPr>
          <w:rFonts w:ascii="Times New Roman" w:hAnsi="Times New Roman" w:eastAsia="Times New Roman"/>
          <w:i/>
          <w:sz w:val="24"/>
        </w:rPr>
        <w:t>N</w:t>
      </w:r>
      <w:r>
        <w:rPr>
          <w:rFonts w:ascii="Times New Roman" w:hAnsi="Times New Roman" w:eastAsia="Times New Roman"/>
          <w:sz w:val="24"/>
        </w:rPr>
        <w:t xml:space="preserve"> = 17,717; C </w:t>
      </w:r>
      <w:r>
        <w:rPr>
          <w:rFonts w:ascii="Times New Roman" w:hAnsi="Times New Roman" w:eastAsia="Times New Roman"/>
          <w:i/>
          <w:sz w:val="24"/>
        </w:rPr>
        <w:t>ρ</w:t>
      </w:r>
      <w:r>
        <w:rPr>
          <w:rFonts w:ascii="Times New Roman" w:hAnsi="Times New Roman" w:eastAsia="Times New Roman"/>
          <w:sz w:val="24"/>
        </w:rPr>
        <w:t xml:space="preserve"> = .26), both restricted to tertiary education. Stajkovic et al. (2018) provided additional evidence that Conscientiousness predicts academic achievement both directly and indirectly through self-efficacy, with the self-efficacy path carrying a substantial proportion of the Conscientiousness effect (</w:t>
      </w:r>
      <w:r>
        <w:rPr>
          <w:rFonts w:ascii="Times New Roman" w:hAnsi="Times New Roman" w:eastAsia="Times New Roman"/>
          <w:i/>
          <w:sz w:val="24"/>
        </w:rPr>
        <w:t>β</w:t>
      </w:r>
      <w:r>
        <w:rPr>
          <w:rFonts w:ascii="Times New Roman" w:hAnsi="Times New Roman" w:eastAsia="Times New Roman"/>
          <w:sz w:val="24"/>
        </w:rPr>
        <w:t xml:space="preserve"> = .24 to .33).</w:t>
      </w:r>
    </w:p>
    <w:p>
      <w:pPr>
        <w:spacing w:line="480" w:lineRule="auto" w:before="0" w:after="0"/>
        <w:ind w:firstLine="720"/>
      </w:pPr>
      <w:r>
        <w:rPr>
          <w:rFonts w:ascii="Times New Roman" w:hAnsi="Times New Roman" w:eastAsia="Times New Roman"/>
          <w:sz w:val="24"/>
        </w:rPr>
        <w:t xml:space="preserve">More recent syntheses have substantially expanded the evidence base. Mammadov (2022), in the largest meta-analysis to date (267 independent samples, </w:t>
      </w:r>
      <w:r>
        <w:rPr>
          <w:rFonts w:ascii="Times New Roman" w:hAnsi="Times New Roman" w:eastAsia="Times New Roman"/>
          <w:i/>
          <w:sz w:val="24"/>
        </w:rPr>
        <w:t>N</w:t>
      </w:r>
      <w:r>
        <w:rPr>
          <w:rFonts w:ascii="Times New Roman" w:hAnsi="Times New Roman" w:eastAsia="Times New Roman"/>
          <w:sz w:val="24"/>
        </w:rPr>
        <w:t xml:space="preserve"> = 413,074), reported a corrected pooled correlation of </w:t>
      </w:r>
      <w:r>
        <w:rPr>
          <w:rFonts w:ascii="Times New Roman" w:hAnsi="Times New Roman" w:eastAsia="Times New Roman"/>
          <w:i/>
          <w:sz w:val="24"/>
        </w:rPr>
        <w:t>ρ</w:t>
      </w:r>
      <w:r>
        <w:rPr>
          <w:rFonts w:ascii="Times New Roman" w:hAnsi="Times New Roman" w:eastAsia="Times New Roman"/>
          <w:sz w:val="24"/>
        </w:rPr>
        <w:t xml:space="preserve"> = .27 for Conscientiousness and </w:t>
      </w:r>
      <w:r>
        <w:rPr>
          <w:rFonts w:ascii="Times New Roman" w:hAnsi="Times New Roman" w:eastAsia="Times New Roman"/>
          <w:i/>
          <w:sz w:val="24"/>
        </w:rPr>
        <w:t>ρ</w:t>
      </w:r>
      <w:r>
        <w:rPr>
          <w:rFonts w:ascii="Times New Roman" w:hAnsi="Times New Roman" w:eastAsia="Times New Roman"/>
          <w:sz w:val="24"/>
        </w:rPr>
        <w:t xml:space="preserve"> = .16 for Openness, and documented a striking cultural moderation effect in which Asian samples showed markedly stronger associations (C </w:t>
      </w:r>
      <w:r>
        <w:rPr>
          <w:rFonts w:ascii="Times New Roman" w:hAnsi="Times New Roman" w:eastAsia="Times New Roman"/>
          <w:i/>
          <w:sz w:val="24"/>
        </w:rPr>
        <w:t>ρ</w:t>
      </w:r>
      <w:r>
        <w:rPr>
          <w:rFonts w:ascii="Times New Roman" w:hAnsi="Times New Roman" w:eastAsia="Times New Roman"/>
          <w:sz w:val="24"/>
        </w:rPr>
        <w:t xml:space="preserve"> = .35; A </w:t>
      </w:r>
      <w:r>
        <w:rPr>
          <w:rFonts w:ascii="Times New Roman" w:hAnsi="Times New Roman" w:eastAsia="Times New Roman"/>
          <w:i/>
          <w:sz w:val="24"/>
        </w:rPr>
        <w:t>ρ</w:t>
      </w:r>
      <w:r>
        <w:rPr>
          <w:rFonts w:ascii="Times New Roman" w:hAnsi="Times New Roman" w:eastAsia="Times New Roman"/>
          <w:sz w:val="24"/>
        </w:rPr>
        <w:t xml:space="preserve"> = .23; </w:t>
      </w:r>
      <w:r>
        <w:rPr>
          <w:rFonts w:ascii="Times New Roman" w:hAnsi="Times New Roman" w:eastAsia="Times New Roman"/>
          <w:i/>
          <w:sz w:val="24"/>
        </w:rPr>
        <w:t>N</w:t>
      </w:r>
      <w:r>
        <w:rPr>
          <w:rFonts w:ascii="Times New Roman" w:hAnsi="Times New Roman" w:eastAsia="Times New Roman"/>
          <w:sz w:val="24"/>
        </w:rPr>
        <w:t xml:space="preserve"> </w:t>
      </w:r>
      <w:r>
        <w:rPr>
          <w:rFonts w:ascii="Times New Roman" w:hAnsi="Times New Roman" w:eastAsia="Times New Roman"/>
          <w:i/>
          <w:sz w:val="24"/>
        </w:rPr>
        <w:t>ρ</w:t>
      </w:r>
      <w:r>
        <w:rPr>
          <w:rFonts w:ascii="Times New Roman" w:hAnsi="Times New Roman" w:eastAsia="Times New Roman"/>
          <w:sz w:val="24"/>
        </w:rPr>
        <w:t xml:space="preserve"> = −.19). Meyer et al. (2023), focusing exclusively on K-12 samples (110 samples, </w:t>
      </w:r>
      <w:r>
        <w:rPr>
          <w:rFonts w:ascii="Times New Roman" w:hAnsi="Times New Roman" w:eastAsia="Times New Roman"/>
          <w:i/>
          <w:sz w:val="24"/>
        </w:rPr>
        <w:t>N</w:t>
      </w:r>
      <w:r>
        <w:rPr>
          <w:rFonts w:ascii="Times New Roman" w:hAnsi="Times New Roman" w:eastAsia="Times New Roman"/>
          <w:sz w:val="24"/>
        </w:rPr>
        <w:t xml:space="preserve"> = 500,218), obtained even larger estimates (C </w:t>
      </w:r>
      <w:r>
        <w:rPr>
          <w:rFonts w:ascii="Times New Roman" w:hAnsi="Times New Roman" w:eastAsia="Times New Roman"/>
          <w:i/>
          <w:sz w:val="24"/>
        </w:rPr>
        <w:t>ρ</w:t>
      </w:r>
      <w:r>
        <w:rPr>
          <w:rFonts w:ascii="Times New Roman" w:hAnsi="Times New Roman" w:eastAsia="Times New Roman"/>
          <w:sz w:val="24"/>
        </w:rPr>
        <w:t xml:space="preserve"> = .24; O </w:t>
      </w:r>
      <w:r>
        <w:rPr>
          <w:rFonts w:ascii="Times New Roman" w:hAnsi="Times New Roman" w:eastAsia="Times New Roman"/>
          <w:i/>
          <w:sz w:val="24"/>
        </w:rPr>
        <w:t>ρ</w:t>
      </w:r>
      <w:r>
        <w:rPr>
          <w:rFonts w:ascii="Times New Roman" w:hAnsi="Times New Roman" w:eastAsia="Times New Roman"/>
          <w:sz w:val="24"/>
        </w:rPr>
        <w:t xml:space="preserve"> = .21) and identified domain specificity as a critical moderator: Openness was substantially stronger for language than for STEM domains, while Conscientiousness effects were larger for grades than for standardized tests. This latter finding was theorized under the Personality-Achievement Saturation Hypothesis (PASH), which posits that the behavioral signals captured by Conscientiousness (e.g., on-task engagement, homework completion) are more visible to teachers assigning grades than to standardized test scorers. Zell and Lesick (2022), in a second-order synthesis of 54 meta-analyses, confirmed the stability of these effects, with academic-specific estimates of C </w:t>
      </w:r>
      <w:r>
        <w:rPr>
          <w:rFonts w:ascii="Times New Roman" w:hAnsi="Times New Roman" w:eastAsia="Times New Roman"/>
          <w:i/>
          <w:sz w:val="24"/>
        </w:rPr>
        <w:t>ρ</w:t>
      </w:r>
      <w:r>
        <w:rPr>
          <w:rFonts w:ascii="Times New Roman" w:hAnsi="Times New Roman" w:eastAsia="Times New Roman"/>
          <w:sz w:val="24"/>
        </w:rPr>
        <w:t xml:space="preserve"> = .28 and E </w:t>
      </w:r>
      <w:r>
        <w:rPr>
          <w:rFonts w:ascii="Times New Roman" w:hAnsi="Times New Roman" w:eastAsia="Times New Roman"/>
          <w:i/>
          <w:sz w:val="24"/>
        </w:rPr>
        <w:t>ρ</w:t>
      </w:r>
      <w:r>
        <w:rPr>
          <w:rFonts w:ascii="Times New Roman" w:hAnsi="Times New Roman" w:eastAsia="Times New Roman"/>
          <w:sz w:val="24"/>
        </w:rPr>
        <w:t xml:space="preserve"> = −.01. Most recently, Chen et al. (2025), examining 84 articles and 370 independent correlations restricted to university students with samples of at least 200 participants, reported somewhat smaller estimates (C </w:t>
      </w:r>
      <w:r>
        <w:rPr>
          <w:rFonts w:ascii="Times New Roman" w:hAnsi="Times New Roman" w:eastAsia="Times New Roman"/>
          <w:i/>
          <w:sz w:val="24"/>
        </w:rPr>
        <w:t>r</w:t>
      </w:r>
      <w:r>
        <w:rPr>
          <w:rFonts w:ascii="Times New Roman" w:hAnsi="Times New Roman" w:eastAsia="Times New Roman"/>
          <w:sz w:val="24"/>
        </w:rPr>
        <w:t xml:space="preserve"> = .206; O </w:t>
      </w:r>
      <w:r>
        <w:rPr>
          <w:rFonts w:ascii="Times New Roman" w:hAnsi="Times New Roman" w:eastAsia="Times New Roman"/>
          <w:i/>
          <w:sz w:val="24"/>
        </w:rPr>
        <w:t>r</w:t>
      </w:r>
      <w:r>
        <w:rPr>
          <w:rFonts w:ascii="Times New Roman" w:hAnsi="Times New Roman" w:eastAsia="Times New Roman"/>
          <w:sz w:val="24"/>
        </w:rPr>
        <w:t xml:space="preserve"> = .081; A </w:t>
      </w:r>
      <w:r>
        <w:rPr>
          <w:rFonts w:ascii="Times New Roman" w:hAnsi="Times New Roman" w:eastAsia="Times New Roman"/>
          <w:i/>
          <w:sz w:val="24"/>
        </w:rPr>
        <w:t>r</w:t>
      </w:r>
      <w:r>
        <w:rPr>
          <w:rFonts w:ascii="Times New Roman" w:hAnsi="Times New Roman" w:eastAsia="Times New Roman"/>
          <w:sz w:val="24"/>
        </w:rPr>
        <w:t xml:space="preserve"> = .082; E </w:t>
      </w:r>
      <w:r>
        <w:rPr>
          <w:rFonts w:ascii="Times New Roman" w:hAnsi="Times New Roman" w:eastAsia="Times New Roman"/>
          <w:i/>
          <w:sz w:val="24"/>
        </w:rPr>
        <w:t>r</w:t>
      </w:r>
      <w:r>
        <w:rPr>
          <w:rFonts w:ascii="Times New Roman" w:hAnsi="Times New Roman" w:eastAsia="Times New Roman"/>
          <w:sz w:val="24"/>
        </w:rPr>
        <w:t xml:space="preserve"> = −.009; </w:t>
      </w:r>
      <w:r>
        <w:rPr>
          <w:rFonts w:ascii="Times New Roman" w:hAnsi="Times New Roman" w:eastAsia="Times New Roman"/>
          <w:i/>
          <w:sz w:val="24"/>
        </w:rPr>
        <w:t>N</w:t>
      </w:r>
      <w:r>
        <w:rPr>
          <w:rFonts w:ascii="Times New Roman" w:hAnsi="Times New Roman" w:eastAsia="Times New Roman"/>
          <w:sz w:val="24"/>
        </w:rPr>
        <w:t xml:space="preserve"> </w:t>
      </w:r>
      <w:r>
        <w:rPr>
          <w:rFonts w:ascii="Times New Roman" w:hAnsi="Times New Roman" w:eastAsia="Times New Roman"/>
          <w:i/>
          <w:sz w:val="24"/>
        </w:rPr>
        <w:t>r</w:t>
      </w:r>
      <w:r>
        <w:rPr>
          <w:rFonts w:ascii="Times New Roman" w:hAnsi="Times New Roman" w:eastAsia="Times New Roman"/>
          <w:sz w:val="24"/>
        </w:rPr>
        <w:t xml:space="preserve"> = −.029), consistent with the idea that stricter methodological inclusion criteria attenuate apparent trait-performance relationships.</w:t>
      </w:r>
    </w:p>
    <w:p>
      <w:pPr>
        <w:spacing w:line="480" w:lineRule="auto" w:before="0" w:after="0"/>
        <w:ind w:firstLine="720"/>
      </w:pPr>
      <w:r>
        <w:rPr>
          <w:rFonts w:ascii="Times New Roman" w:hAnsi="Times New Roman" w:eastAsia="Times New Roman"/>
          <w:sz w:val="24"/>
        </w:rPr>
        <w:t>Across these eight meta-analyses, a convergent picture emerges: Conscientiousness is the dominant predictor of academic achievement (</w:t>
      </w:r>
      <w:r>
        <w:rPr>
          <w:rFonts w:ascii="Times New Roman" w:hAnsi="Times New Roman" w:eastAsia="Times New Roman"/>
          <w:i/>
          <w:sz w:val="24"/>
        </w:rPr>
        <w:t>ρ</w:t>
      </w:r>
      <w:r>
        <w:rPr>
          <w:rFonts w:ascii="Times New Roman" w:hAnsi="Times New Roman" w:eastAsia="Times New Roman"/>
          <w:sz w:val="24"/>
        </w:rPr>
        <w:t xml:space="preserve"> = .19 to .28), with Openness serving as a reliable secondary predictor (</w:t>
      </w:r>
      <w:r>
        <w:rPr>
          <w:rFonts w:ascii="Times New Roman" w:hAnsi="Times New Roman" w:eastAsia="Times New Roman"/>
          <w:i/>
          <w:sz w:val="24"/>
        </w:rPr>
        <w:t>ρ</w:t>
      </w:r>
      <w:r>
        <w:rPr>
          <w:rFonts w:ascii="Times New Roman" w:hAnsi="Times New Roman" w:eastAsia="Times New Roman"/>
          <w:sz w:val="24"/>
        </w:rPr>
        <w:t xml:space="preserve"> = .07 to .21). Agreeableness exhibits small positive effects (</w:t>
      </w:r>
      <w:r>
        <w:rPr>
          <w:rFonts w:ascii="Times New Roman" w:hAnsi="Times New Roman" w:eastAsia="Times New Roman"/>
          <w:i/>
          <w:sz w:val="24"/>
        </w:rPr>
        <w:t>ρ</w:t>
      </w:r>
      <w:r>
        <w:rPr>
          <w:rFonts w:ascii="Times New Roman" w:hAnsi="Times New Roman" w:eastAsia="Times New Roman"/>
          <w:sz w:val="24"/>
        </w:rPr>
        <w:t xml:space="preserve"> = .04 to .10), and Extraversion and Neuroticism are generally near zero in academic contexts, although both may show meaningful directional effects under specific moderators. Critically, however, none of these eight meta-analyses has tested learning modality—online, blended, face-to-face, or MOOC—as a moderator. The samples pooled in these syntheses were drawn almost entirely from traditional classroom contexts, or from contexts in which delivery modality was not reported.</w:t>
      </w:r>
    </w:p>
    <w:p>
      <w:pPr>
        <w:pStyle w:val="Heading2"/>
        <w:spacing w:line="480" w:lineRule="auto" w:before="0" w:after="0"/>
      </w:pPr>
      <w:r>
        <w:t>The Shift to Online Learning Environments</w:t>
      </w:r>
    </w:p>
    <w:p>
      <w:pPr>
        <w:spacing w:line="480" w:lineRule="auto" w:before="0" w:after="0"/>
        <w:ind w:firstLine="720"/>
      </w:pPr>
      <w:r>
        <w:rPr>
          <w:rFonts w:ascii="Times New Roman" w:hAnsi="Times New Roman" w:eastAsia="Times New Roman"/>
          <w:sz w:val="24"/>
        </w:rPr>
        <w:t>Online learning environments differ from face-to-face instruction along at least four dimensions that have theoretical implications for the personality-achievement relationship. First, online environments impose heightened self-regulation demands on learners, who must manage their own time, attention, and task sequencing without the physical and social scaffolding provided by a traditional classroom (Broadbent &amp; Poon, 2015). This demand is likely to amplify the importance of Conscientiousness, and particularly its industriousness and orderliness facets, for academic success. Second, online environments reduce social presence: learners interact with instructors and peers through mediated channels, often asynchronously, and the rich nonverbal cues of in-person interaction are absent or attenuated. This reduction in social presence may alter the role of Extraversion, which in face-to-face contexts is weakly but positively associated with classroom participation and instructor rapport, but which may become irrelevant or even counterproductive in asynchronous environments where social interaction is limited. Third, online environments afford greater temporal flexibility, which can either support self-directed learning or, conversely, facilitate procrastination (Cheng et al., 2023). Finally, online environments are technology-mediated, requiring engagement with novel digital platforms, learning management systems, and assessment tools; this technological novelty may engage Openness to Experience more strongly than in conventional classrooms, where instructional technology is more routine.</w:t>
      </w:r>
    </w:p>
    <w:p>
      <w:pPr>
        <w:spacing w:line="480" w:lineRule="auto" w:before="0" w:after="0"/>
        <w:ind w:firstLine="720"/>
      </w:pPr>
      <w:r>
        <w:rPr>
          <w:rFonts w:ascii="Times New Roman" w:hAnsi="Times New Roman" w:eastAsia="Times New Roman"/>
          <w:sz w:val="24"/>
        </w:rPr>
        <w:t xml:space="preserve">These four dimensions—self-regulation demands, reduced social presence, temporal flexibility, and technology mediation—motivate specific predictions about how the personality-achievement relationship should differ in online as compared with face-to-face contexts. In particular, if the meta-analytic Conscientiousness effect of approximately </w:t>
      </w:r>
      <w:r>
        <w:rPr>
          <w:rFonts w:ascii="Times New Roman" w:hAnsi="Times New Roman" w:eastAsia="Times New Roman"/>
          <w:i/>
          <w:sz w:val="24"/>
        </w:rPr>
        <w:t>ρ</w:t>
      </w:r>
      <w:r>
        <w:rPr>
          <w:rFonts w:ascii="Times New Roman" w:hAnsi="Times New Roman" w:eastAsia="Times New Roman"/>
          <w:sz w:val="24"/>
        </w:rPr>
        <w:t xml:space="preserve"> = .22–.27 reflects, in part, the benefits of organized study behavior in conventional classrooms, then the same effect should be at least as large in online environments, where self-regulation is more demanding. Openness may become more strongly predictive in online environments because of the premium placed on self-directed exploration of digital resources. Extraversion, conversely, may shift toward a null or negative association if the social rewards that sustain extraverted engagement are absent. Neuroticism may be more negatively associated with achievement in online environments because isolation and technology-related stressors disproportionately affect anxious learners. These predictions are theoretically grounded, but they have not been systematically evaluated against quantitative evidence.</w:t>
      </w:r>
    </w:p>
    <w:p>
      <w:pPr>
        <w:pStyle w:val="Heading2"/>
        <w:spacing w:line="480" w:lineRule="auto" w:before="0" w:after="0"/>
      </w:pPr>
      <w:r>
        <w:t>Big Five Personality Traits in Online Learning: Fragmented Evidence</w:t>
      </w:r>
    </w:p>
    <w:p>
      <w:pPr>
        <w:spacing w:line="480" w:lineRule="auto" w:before="0" w:after="0"/>
        <w:ind w:firstLine="720"/>
      </w:pPr>
      <w:r>
        <w:rPr>
          <w:rFonts w:ascii="Times New Roman" w:hAnsi="Times New Roman" w:eastAsia="Times New Roman"/>
          <w:sz w:val="24"/>
        </w:rPr>
        <w:t>Individual primary studies of the Big Five and academic achievement in online learning have accumulated in substantial numbers since approximately 2018, with a marked acceleration during the COVID-19 pandemic (2020–2022). The preliminary narrative synthesis most closely related to the present review is Hunter et al. (2025), who systematically screened 848 records from 2000 to June 2024 and included 23 primary studies. Their review documented a consistent positive association between Conscientiousness and online achievement (observed in 3 of 5 studies reporting GPA-type outcomes), negative associations with Neuroticism (in 3 of 5 studies), and essentially null associations with Extraversion (in all 5 studies). However, Hunter et al. (2025) explicitly did not pool effect sizes quantitatively, and the level-of-evidence rating for all 23 included studies was Level IV (low strength), precluding inferences about the magnitude or moderators of the observed associations.</w:t>
      </w:r>
    </w:p>
    <w:p>
      <w:pPr>
        <w:spacing w:line="480" w:lineRule="auto" w:before="0" w:after="0"/>
        <w:ind w:firstLine="720"/>
      </w:pPr>
      <w:r>
        <w:rPr>
          <w:rFonts w:ascii="Times New Roman" w:hAnsi="Times New Roman" w:eastAsia="Times New Roman"/>
          <w:sz w:val="24"/>
        </w:rPr>
        <w:t>Examining the primary literature directly reveals considerable heterogeneity in reported effect sizes. In fully online asynchronous contexts, Abe (2020) reported strong correlations between Conscientiousness and both quiz performance (</w:t>
      </w:r>
      <w:r>
        <w:rPr>
          <w:rFonts w:ascii="Times New Roman" w:hAnsi="Times New Roman" w:eastAsia="Times New Roman"/>
          <w:i/>
          <w:sz w:val="24"/>
        </w:rPr>
        <w:t>r</w:t>
      </w:r>
      <w:r>
        <w:rPr>
          <w:rFonts w:ascii="Times New Roman" w:hAnsi="Times New Roman" w:eastAsia="Times New Roman"/>
          <w:sz w:val="24"/>
        </w:rPr>
        <w:t xml:space="preserve"> = .48) and paper grades (</w:t>
      </w:r>
      <w:r>
        <w:rPr>
          <w:rFonts w:ascii="Times New Roman" w:hAnsi="Times New Roman" w:eastAsia="Times New Roman"/>
          <w:i/>
          <w:sz w:val="24"/>
        </w:rPr>
        <w:t>r</w:t>
      </w:r>
      <w:r>
        <w:rPr>
          <w:rFonts w:ascii="Times New Roman" w:hAnsi="Times New Roman" w:eastAsia="Times New Roman"/>
          <w:sz w:val="24"/>
        </w:rPr>
        <w:t xml:space="preserve"> = .37), with Openness also predicting paper grades (</w:t>
      </w:r>
      <w:r>
        <w:rPr>
          <w:rFonts w:ascii="Times New Roman" w:hAnsi="Times New Roman" w:eastAsia="Times New Roman"/>
          <w:i/>
          <w:sz w:val="24"/>
        </w:rPr>
        <w:t>r</w:t>
      </w:r>
      <w:r>
        <w:rPr>
          <w:rFonts w:ascii="Times New Roman" w:hAnsi="Times New Roman" w:eastAsia="Times New Roman"/>
          <w:sz w:val="24"/>
        </w:rPr>
        <w:t xml:space="preserve"> = .35). Alkış and Taşkaya Temizel (2018), comparing online and blended sections of the same course, found Conscientiousness to predict course grades in both modalities (online </w:t>
      </w:r>
      <w:r>
        <w:rPr>
          <w:rFonts w:ascii="Times New Roman" w:hAnsi="Times New Roman" w:eastAsia="Times New Roman"/>
          <w:i/>
          <w:sz w:val="24"/>
        </w:rPr>
        <w:t>r</w:t>
      </w:r>
      <w:r>
        <w:rPr>
          <w:rFonts w:ascii="Times New Roman" w:hAnsi="Times New Roman" w:eastAsia="Times New Roman"/>
          <w:sz w:val="24"/>
        </w:rPr>
        <w:t xml:space="preserve"> = .205; blended </w:t>
      </w:r>
      <w:r>
        <w:rPr>
          <w:rFonts w:ascii="Times New Roman" w:hAnsi="Times New Roman" w:eastAsia="Times New Roman"/>
          <w:i/>
          <w:sz w:val="24"/>
        </w:rPr>
        <w:t>r</w:t>
      </w:r>
      <w:r>
        <w:rPr>
          <w:rFonts w:ascii="Times New Roman" w:hAnsi="Times New Roman" w:eastAsia="Times New Roman"/>
          <w:sz w:val="24"/>
        </w:rPr>
        <w:t xml:space="preserve"> = .244), with other traits exhibiting only null effects. In the COVID-era German higher education context, Rodrigues et al. (2024) reported a moderate negative correlation between Conscientiousness and self-reported GPA (</w:t>
      </w:r>
      <w:r>
        <w:rPr>
          <w:rFonts w:ascii="Times New Roman" w:hAnsi="Times New Roman" w:eastAsia="Times New Roman"/>
          <w:i/>
          <w:sz w:val="24"/>
        </w:rPr>
        <w:t>r</w:t>
      </w:r>
      <w:r>
        <w:rPr>
          <w:rFonts w:ascii="Times New Roman" w:hAnsi="Times New Roman" w:eastAsia="Times New Roman"/>
          <w:sz w:val="24"/>
        </w:rPr>
        <w:t xml:space="preserve"> = −.228 with grades coded such that lower values indicate better performance), and significant negative associations between Neuroticism and study satisfaction and well-being. Rivers (2021), studying Japanese undergraduates in an asynchronous Moodle course (</w:t>
      </w:r>
      <w:r>
        <w:rPr>
          <w:rFonts w:ascii="Times New Roman" w:hAnsi="Times New Roman" w:eastAsia="Times New Roman"/>
          <w:i/>
          <w:sz w:val="24"/>
        </w:rPr>
        <w:t>N</w:t>
      </w:r>
      <w:r>
        <w:rPr>
          <w:rFonts w:ascii="Times New Roman" w:hAnsi="Times New Roman" w:eastAsia="Times New Roman"/>
          <w:sz w:val="24"/>
        </w:rPr>
        <w:t xml:space="preserve"> = 149), reported a direct negative effect of Extraversion on course achievement (</w:t>
      </w:r>
      <w:r>
        <w:rPr>
          <w:rFonts w:ascii="Times New Roman" w:hAnsi="Times New Roman" w:eastAsia="Times New Roman"/>
          <w:i/>
          <w:sz w:val="24"/>
        </w:rPr>
        <w:t>β</w:t>
      </w:r>
      <w:r>
        <w:rPr>
          <w:rFonts w:ascii="Times New Roman" w:hAnsi="Times New Roman" w:eastAsia="Times New Roman"/>
          <w:sz w:val="24"/>
        </w:rPr>
        <w:t xml:space="preserve"> = −.168, </w:t>
      </w:r>
      <w:r>
        <w:rPr>
          <w:rFonts w:ascii="Times New Roman" w:hAnsi="Times New Roman" w:eastAsia="Times New Roman"/>
          <w:i/>
          <w:sz w:val="24"/>
        </w:rPr>
        <w:t>p</w:t>
      </w:r>
      <w:r>
        <w:rPr>
          <w:rFonts w:ascii="Times New Roman" w:hAnsi="Times New Roman" w:eastAsia="Times New Roman"/>
          <w:sz w:val="24"/>
        </w:rPr>
        <w:t xml:space="preserve"> &lt; .01), consistent with the prediction that social-cue deprivation in asynchronous environments disadvantages extraverted learners.</w:t>
      </w:r>
    </w:p>
    <w:p>
      <w:pPr>
        <w:spacing w:line="480" w:lineRule="auto" w:before="0" w:after="0"/>
        <w:ind w:firstLine="720"/>
      </w:pPr>
      <w:r>
        <w:rPr>
          <w:rFonts w:ascii="Times New Roman" w:hAnsi="Times New Roman" w:eastAsia="Times New Roman"/>
          <w:sz w:val="24"/>
        </w:rPr>
        <w:t xml:space="preserve">Other primary studies reveal patterns that diverge from conventional face-to-face findings. In a large Chinese K-12 sample studied by Wang, Wang, and Li (2023; </w:t>
      </w:r>
      <w:r>
        <w:rPr>
          <w:rFonts w:ascii="Times New Roman" w:hAnsi="Times New Roman" w:eastAsia="Times New Roman"/>
          <w:i/>
          <w:sz w:val="24"/>
        </w:rPr>
        <w:t>N</w:t>
      </w:r>
      <w:r>
        <w:rPr>
          <w:rFonts w:ascii="Times New Roman" w:hAnsi="Times New Roman" w:eastAsia="Times New Roman"/>
          <w:sz w:val="24"/>
        </w:rPr>
        <w:t xml:space="preserve"> = 1,625), Big Five traits were associated with academic achievement only indirectly through online learning engagement, with Conscientiousness (</w:t>
      </w:r>
      <w:r>
        <w:rPr>
          <w:rFonts w:ascii="Times New Roman" w:hAnsi="Times New Roman" w:eastAsia="Times New Roman"/>
          <w:i/>
          <w:sz w:val="24"/>
        </w:rPr>
        <w:t>β</w:t>
      </w:r>
      <w:r>
        <w:rPr>
          <w:rFonts w:ascii="Times New Roman" w:hAnsi="Times New Roman" w:eastAsia="Times New Roman"/>
          <w:sz w:val="24"/>
        </w:rPr>
        <w:t xml:space="preserve"> = .322) and Openness (</w:t>
      </w:r>
      <w:r>
        <w:rPr>
          <w:rFonts w:ascii="Times New Roman" w:hAnsi="Times New Roman" w:eastAsia="Times New Roman"/>
          <w:i/>
          <w:sz w:val="24"/>
        </w:rPr>
        <w:t>β</w:t>
      </w:r>
      <w:r>
        <w:rPr>
          <w:rFonts w:ascii="Times New Roman" w:hAnsi="Times New Roman" w:eastAsia="Times New Roman"/>
          <w:sz w:val="24"/>
        </w:rPr>
        <w:t xml:space="preserve"> = .253) serving as the strongest predictors of engagement. Yu (2021), in a Chinese MOOC platform sample (</w:t>
      </w:r>
      <w:r>
        <w:rPr>
          <w:rFonts w:ascii="Times New Roman" w:hAnsi="Times New Roman" w:eastAsia="Times New Roman"/>
          <w:i/>
          <w:sz w:val="24"/>
        </w:rPr>
        <w:t>N</w:t>
      </w:r>
      <w:r>
        <w:rPr>
          <w:rFonts w:ascii="Times New Roman" w:hAnsi="Times New Roman" w:eastAsia="Times New Roman"/>
          <w:sz w:val="24"/>
        </w:rPr>
        <w:t xml:space="preserve"> = 1,152), reported that Agreeableness (</w:t>
      </w:r>
      <w:r>
        <w:rPr>
          <w:rFonts w:ascii="Times New Roman" w:hAnsi="Times New Roman" w:eastAsia="Times New Roman"/>
          <w:i/>
          <w:sz w:val="24"/>
        </w:rPr>
        <w:t>β</w:t>
      </w:r>
      <w:r>
        <w:rPr>
          <w:rFonts w:ascii="Times New Roman" w:hAnsi="Times New Roman" w:eastAsia="Times New Roman"/>
          <w:sz w:val="24"/>
        </w:rPr>
        <w:t xml:space="preserve"> = .442) and Openness (</w:t>
      </w:r>
      <w:r>
        <w:rPr>
          <w:rFonts w:ascii="Times New Roman" w:hAnsi="Times New Roman" w:eastAsia="Times New Roman"/>
          <w:i/>
          <w:sz w:val="24"/>
        </w:rPr>
        <w:t>β</w:t>
      </w:r>
      <w:r>
        <w:rPr>
          <w:rFonts w:ascii="Times New Roman" w:hAnsi="Times New Roman" w:eastAsia="Times New Roman"/>
          <w:sz w:val="24"/>
        </w:rPr>
        <w:t xml:space="preserve"> = .305) were stronger predictors of objective MOOC composite scores than Conscientiousness (</w:t>
      </w:r>
      <w:r>
        <w:rPr>
          <w:rFonts w:ascii="Times New Roman" w:hAnsi="Times New Roman" w:eastAsia="Times New Roman"/>
          <w:i/>
          <w:sz w:val="24"/>
        </w:rPr>
        <w:t>β</w:t>
      </w:r>
      <w:r>
        <w:rPr>
          <w:rFonts w:ascii="Times New Roman" w:hAnsi="Times New Roman" w:eastAsia="Times New Roman"/>
          <w:sz w:val="24"/>
        </w:rPr>
        <w:t xml:space="preserve"> = .057), suggesting that cooperative behaviors and novelty orientation may be especially salient in Chinese collectivistic contexts (cf. Mammadov, 2022; Chen et al., 2025). Bahçekapılı and Karaman (2020), in a Turkish distance-education context (</w:t>
      </w:r>
      <w:r>
        <w:rPr>
          <w:rFonts w:ascii="Times New Roman" w:hAnsi="Times New Roman" w:eastAsia="Times New Roman"/>
          <w:i/>
          <w:sz w:val="24"/>
        </w:rPr>
        <w:t>N</w:t>
      </w:r>
      <w:r>
        <w:rPr>
          <w:rFonts w:ascii="Times New Roman" w:hAnsi="Times New Roman" w:eastAsia="Times New Roman"/>
          <w:sz w:val="24"/>
        </w:rPr>
        <w:t xml:space="preserve"> = 525), found that all five Big Five traits exhibited non-significant direct correlations with GPA, with their effects fully mediated through self-efficacy and external locus of control.</w:t>
      </w:r>
    </w:p>
    <w:p>
      <w:pPr>
        <w:spacing w:line="480" w:lineRule="auto" w:before="0" w:after="0"/>
        <w:ind w:firstLine="720"/>
      </w:pPr>
      <w:r>
        <w:rPr>
          <w:rFonts w:ascii="Times New Roman" w:hAnsi="Times New Roman" w:eastAsia="Times New Roman"/>
          <w:sz w:val="24"/>
        </w:rPr>
        <w:t>In aggregate, this primary literature suggests that the Conscientiousness-achievement link observed in face-to-face contexts is generally preserved in online settings, but that (a) the magnitude of the effect varies widely across samples, (b) the role of Extraversion may shift in theoretically predictable directions when social cues are attenuated, and (c) Openness and Agreeableness effects may be amplified in specific cultural or disciplinary contexts. However, these primary studies vary substantially in sample composition, modality (fully online, blended, synchronous, asynchronous, MOOC), measurement instruments (BFI, BFI-2, BFI-S, NEO-FFI, IPIP, HEXACO, TIPI), outcome operationalizations (GPA, course grades, standardized exams, LMS behavior, composite scores), and era (pre-COVID, COVID, post-COVID). Without a quantitative synthesis, it is not possible to determine whether these apparent heterogeneities reflect true moderator effects, sampling noise, or methodological artifacts.</w:t>
      </w:r>
    </w:p>
    <w:p>
      <w:pPr>
        <w:pStyle w:val="Heading2"/>
        <w:spacing w:line="480" w:lineRule="auto" w:before="0" w:after="0"/>
      </w:pPr>
      <w:r>
        <w:t>Potential Moderators of the Personality-Achievement Association in Online Contexts</w:t>
      </w:r>
    </w:p>
    <w:p>
      <w:pPr>
        <w:spacing w:line="480" w:lineRule="auto" w:before="0" w:after="0"/>
        <w:ind w:firstLine="720"/>
      </w:pPr>
      <w:r>
        <w:rPr>
          <w:rFonts w:ascii="Times New Roman" w:hAnsi="Times New Roman" w:eastAsia="Times New Roman"/>
          <w:sz w:val="24"/>
        </w:rPr>
        <w:t>Several moderators are theoretically and empirically motivated for the present review. First, learning modality itself—fully online, blended, MOOC, synchronous online, asynchronous online—may moderate the personality-achievement association because the four dimensions of online learning identified above vary in intensity across modalities. Second, education level (K-12, undergraduate, graduate, adult) has been shown to moderate personality-achievement relationships in face-to-face contexts (Mammadov, 2022; Meyer et al., 2023), with Openness effects declining across the educational trajectory while Conscientiousness effects remain stable; whether this pattern holds in online contexts is unknown. Third, region and cultural context may moderate effects: Mammadov (2022) and Chen et al. (2025) both reported amplified Conscientiousness and Agreeableness effects in East Asian and other collectivistic samples, and Chen et al. (2025) additionally reported that Extraversion is significantly negative in individualistic contexts but null in collectivistic contexts. Fourth, the COVID-19 era may constitute a meaningful moderator: pre-COVID online learning was typically self-selected and involved learners with strong motivation for online study, whereas COVID-era online learning was imposed on all learners regardless of preference, and post-COVID online learning reflects a mixture of voluntary and mandatory adoption. Fifth, the choice of personality instrument (BFI, NEO-FFI, IPIP, HEXACO, TIPI) has been shown by McAbee and Oswald (2013) to moderate Conscientiousness estimates, with short-form instruments (e.g., Mini-Markers, TIPI) yielding smaller effects; this moderator is particularly relevant for the present review because online studies more frequently use short-form instruments than traditional paper-and-pencil contexts.</w:t>
      </w:r>
    </w:p>
    <w:p>
      <w:pPr>
        <w:pStyle w:val="Heading2"/>
        <w:spacing w:line="480" w:lineRule="auto" w:before="0" w:after="0"/>
      </w:pPr>
      <w:r>
        <w:t>The Present Study</w:t>
      </w:r>
    </w:p>
    <w:p>
      <w:pPr>
        <w:spacing w:line="480" w:lineRule="auto" w:before="0" w:after="0"/>
        <w:ind w:firstLine="720"/>
      </w:pPr>
      <w:r>
        <w:rPr>
          <w:rFonts w:ascii="Times New Roman" w:hAnsi="Times New Roman" w:eastAsia="Times New Roman"/>
          <w:sz w:val="24"/>
        </w:rPr>
        <w:t>The present systematic review and meta-analysis is, to our knowledge, the first quantitative synthesis of the association between Big Five personality traits and academic achievement that focuses specifically on online learning environments. Our review addresses three research questions and evaluates five directional hypotheses. The research questions are as follows. First (RQ1), what is the pooled magnitude of the association between each Big Five trait and academic achievement in online learning environments, and how does this magnitude compare with published face-to-face benchmarks? Second (RQ2), does the personality-achievement association vary systematically across learning modality, education level, region, era, outcome type, and personality instrument? Third (RQ3), is the personality-achievement association in online environments fully accounted for by mediating constructs such as self-efficacy and self-regulation, or does it exhibit direct effects beyond these mediators?</w:t>
      </w:r>
    </w:p>
    <w:p>
      <w:pPr>
        <w:spacing w:line="480" w:lineRule="auto" w:before="0" w:after="0"/>
        <w:ind w:firstLine="720"/>
      </w:pPr>
      <w:r>
        <w:rPr>
          <w:rFonts w:ascii="Times New Roman" w:hAnsi="Times New Roman" w:eastAsia="Times New Roman"/>
          <w:sz w:val="24"/>
        </w:rPr>
        <w:t xml:space="preserve">Five directional hypotheses, pre-specified in the OSF registration (https://osf.io/e5w47/), are evaluated. Hypothesis 1 (H1) states that Conscientiousness will show the strongest positive pooled correlation with academic achievement in online learning environments, with an expected pooled </w:t>
      </w:r>
      <w:r>
        <w:rPr>
          <w:rFonts w:ascii="Times New Roman" w:hAnsi="Times New Roman" w:eastAsia="Times New Roman"/>
          <w:i/>
          <w:sz w:val="24"/>
        </w:rPr>
        <w:t>ρ</w:t>
      </w:r>
      <w:r>
        <w:rPr>
          <w:rFonts w:ascii="Times New Roman" w:hAnsi="Times New Roman" w:eastAsia="Times New Roman"/>
          <w:sz w:val="24"/>
        </w:rPr>
        <w:t xml:space="preserve"> of .20 to .35, consistent with the face-to-face benchmarks reviewed above and potentially amplified in Asian samples. Hypothesis 2 (H2) states that Openness will show the second-strongest positive correlation, potentially stronger than in face-to-face contexts, reflecting the premium placed on self-directed exploration in online environments. Hypothesis 3 (H3) states that Agreeableness will show a small positive correlation, potentially weaker than in face-to-face contexts because cooperative group behaviors are less central in asynchronous online environments. Hypothesis 4 (H4) states that Neuroticism will show a negative correlation, more pronounced in fully online than in blended modalities, reflecting the isolating and technology-mediated nature of fully online environments. Hypothesis 5 (H5) states that Extraversion will show a null or weak negative correlation, with possible facet-level cancellation between sociability (expected negative) and assertiveness (expected positive) components, reflecting the reduced social presence of online environments. Hypotheses H2, H4, and H5 constitute the novel contribution of this review, as they predict modality-specific divergences from established patterns observed in face-to-face meta-analyses.</w:t>
      </w:r>
    </w:p>
    <w:p>
      <w:pPr>
        <w:spacing w:line="480" w:lineRule="auto" w:before="0" w:after="0"/>
        <w:ind w:firstLine="720"/>
      </w:pPr>
      <w:r>
        <w:rPr>
          <w:rFonts w:ascii="Times New Roman" w:hAnsi="Times New Roman" w:eastAsia="Times New Roman"/>
          <w:sz w:val="24"/>
        </w:rPr>
        <w:t>A null result for any of these hypotheses would itself be informative, indicating that online and face-to-face personality-achievement relationships are equivalent in the corresponding dimension. The present review therefore offers the first quantitative evaluation of whether personality operates differently across learning modalities, and provides a necessary empirical foundation for both theoretical refinement and evidence-informed educational practice in the post-pandemic era.</w:t>
      </w:r>
    </w:p>
    <w:p>
      <w:pPr>
        <w:pStyle w:val="Heading1"/>
        <w:spacing w:line="480" w:lineRule="auto" w:before="0" w:after="0"/>
      </w:pPr>
      <w:r>
        <w:t>Methods</w:t>
      </w:r>
    </w:p>
    <w:p>
      <w:pPr>
        <w:pStyle w:val="Heading2"/>
        <w:spacing w:line="480" w:lineRule="auto" w:before="0" w:after="0"/>
      </w:pPr>
      <w:r>
        <w:t>Pre-registration and Reporting Standards</w:t>
      </w:r>
    </w:p>
    <w:p>
      <w:pPr>
        <w:spacing w:line="480" w:lineRule="auto" w:before="0" w:after="0"/>
        <w:ind w:firstLine="720"/>
      </w:pPr>
      <w:r>
        <w:rPr>
          <w:rFonts w:ascii="Times New Roman" w:hAnsi="Times New Roman" w:eastAsia="Times New Roman"/>
          <w:sz w:val="24"/>
        </w:rPr>
        <w:t>The protocol for this systematic review and meta-analysis was pre-registered on OSF Registries (https://osf.io/e5w47/; DOI: 10.17605/OSF.IO/E5W47) on April 23, 2026, prior to the formal database search and quantitative synthesis. The registration template used was OSF Preregistration, with the full protocol structured according to the Preferred Reporting Items for Systematic Review and Meta-Analysis Protocols (PRISMA-P) 2015 statement (Moher et al., 2015). The review was originally drafted for PROSPERO submission, but was re-routed to OSF Registries because PROSPERO requires a health-related outcome, which this educationally focused review does not satisfy. The present manuscript is reported in accordance with the PRISMA 2020 statement (Page et al., 2021), and the completed PRISMA 2020 checklist is provided as Supplementary Material on the OSF project page (https://osf.io/79m5j/). Any deviations from the pre-registered protocol are transparently disclosed in a dedicated subsection below.</w:t>
      </w:r>
    </w:p>
    <w:p>
      <w:pPr>
        <w:pStyle w:val="Heading2"/>
        <w:spacing w:line="480" w:lineRule="auto" w:before="0" w:after="0"/>
      </w:pPr>
      <w:r>
        <w:t>Eligibility Criteria</w:t>
      </w:r>
    </w:p>
    <w:p>
      <w:pPr>
        <w:spacing w:line="480" w:lineRule="auto" w:before="0" w:after="0"/>
        <w:ind w:firstLine="720"/>
      </w:pPr>
      <w:r>
        <w:rPr>
          <w:rFonts w:ascii="Times New Roman" w:hAnsi="Times New Roman" w:eastAsia="Times New Roman"/>
          <w:sz w:val="24"/>
        </w:rPr>
        <w:t>Eligibility was defined using the PICOS (Population, Intervention/Exposure, Comparator, Outcome, Study design) framework. Studies were included if they satisfied all of the following criteria. Population: students at any educational level—K-12, undergraduate, graduate, or adult learner—enrolled in an online learning environment. No geographic or demographic restrictions were applied to participants, provided that samples comprised at least 10 learners. Exposure: Big Five or HEXACO personality traits measured with a validated inventory, including the Big Five Inventory (BFI, BFI-2, BFI-44, BFI-S), the NEO Personality Inventory–Revised (NEO-PI-R) or NEO Five-Factor Inventory (NEO-FFI, NEO-FFI-3), the International Personality Item Pool (IPIP, including Mini-IPIP), the HEXACO Personality Inventory–Revised (HEXACO-PI-R, HEXACO-60), the Ten-Item Personality Inventory (TIPI, TIPI-J), or any peer-reviewed Big Five–aligned scale with published reliability. Measures based on typological frameworks (e.g., Myers-Briggs Type Indicator) or on single-trait constructs (e.g., Grit, Proactive Personality) not mappable to the Five-Factor Model were excluded. Comparator: not applicable, because the synthesis addresses observational correlational associations rather than group-comparison designs. Outcome: the primary outcome was academic achievement, operationalized as grade point average (GPA), course grade, standardized exam score, or composite learning performance score. Secondary outcomes, analyzed only if at least 10 studies reported each indicator, were academic satisfaction, academic engagement, learning-related behaviors (e.g., learning management system use, completion rate), and dropout or persistence. Study design: cross-sectional correlational, longitudinal, or prospective studies reporting sufficient statistics for effect-size extraction or conversion. Qualitative-only studies, commentary, editorial, narrative review, and single-case studies with fewer than 10 participants were excluded, although the reference lists of narrative reviews were hand-searched for original primary studies.</w:t>
      </w:r>
    </w:p>
    <w:p>
      <w:pPr>
        <w:spacing w:line="480" w:lineRule="auto" w:before="0" w:after="0"/>
        <w:ind w:firstLine="720"/>
      </w:pPr>
      <w:r>
        <w:rPr>
          <w:rFonts w:ascii="Times New Roman" w:hAnsi="Times New Roman" w:eastAsia="Times New Roman"/>
          <w:sz w:val="24"/>
        </w:rPr>
        <w:t>Studies were restricted to those published in English, in peer-reviewed journals, peer-reviewed conference proceedings, or doctoral dissertations. Unpublished manuscripts and preprints that had not undergone peer review were excluded in order to maintain a minimum quality threshold. No restriction was placed on publication year. Studies in which learners were non-human (e.g., AI agents or simulated students) were excluded, as were studies of fully face-to-face samples with no online learning component. When a study's modality status was ambiguous, the corresponding author was contacted for clarification, with up to two contact attempts separated by at least two weeks; studies for which ambiguity could not be resolved were excluded, and the exclusion reason was recorded in the flow diagram.</w:t>
      </w:r>
    </w:p>
    <w:p>
      <w:pPr>
        <w:pStyle w:val="Heading2"/>
        <w:spacing w:line="480" w:lineRule="auto" w:before="0" w:after="0"/>
      </w:pPr>
      <w:r>
        <w:t>Information Sources and Search Strategy</w:t>
      </w:r>
    </w:p>
    <w:p>
      <w:pPr>
        <w:spacing w:line="480" w:lineRule="auto" w:before="0" w:after="0"/>
        <w:ind w:firstLine="720"/>
      </w:pPr>
      <w:r>
        <w:rPr>
          <w:rFonts w:ascii="Times New Roman" w:hAnsi="Times New Roman" w:eastAsia="Times New Roman"/>
          <w:sz w:val="24"/>
        </w:rPr>
        <w:t>The pre-registered search plan specified six electronic databases—PubMed/MEDLINE, PsycINFO, the Education Resources Information Center (ERIC), Web of Science (Core Collection), Scopus, and ProQuest Dissertations &amp; Theses Global—supplemented by Google Scholar (first 200 hits per query) and forward/backward citation snowballing. Because the review was executed in a computing environment that did not have institutional access to the subscription-gated databases (Scopus, Web of Science, PsycINFO), and because the direct E-utilities and OpenAlex APIs were unavailable due to network allowlist restrictions, the final search was executed through a web-based search interface equivalent in coverage to Google Scholar, combined with targeted retrieval from open-access repositories (PubMed Central, Frontiers, MDPI, Open Praxis). This constitutes a deviation from the pre-registered protocol and is discussed transparently under “Deviations from the Pre-registered Protocol.” The deviation was mitigated by applying the same pre-specified three-concept Boolean search strategy across all executed queries and by retaining the original retrieval logs on the OSF project.</w:t>
      </w:r>
    </w:p>
    <w:p>
      <w:pPr>
        <w:spacing w:line="480" w:lineRule="auto" w:before="0" w:after="0"/>
        <w:ind w:firstLine="720"/>
      </w:pPr>
      <w:r>
        <w:rPr>
          <w:rFonts w:ascii="Times New Roman" w:hAnsi="Times New Roman" w:eastAsia="Times New Roman"/>
          <w:sz w:val="24"/>
        </w:rPr>
        <w:t>The search strategy combined three concept blocks with the Boolean operator AND. Concept 1 (personality) comprised the terms "Big Five," "Five-Factor Model," "FFM," "HEXACO," "BFI," "NEO-PI-R," "NEO-FFI," "IPIP," "conscientiousness," "openness to experience," "extraversion," "agreeableness," "neuroticism," "emotional stability," and "personality traits," connected by OR. Concept 2 (online learning) comprised "online learning," "e-learning," "distance learning," "remote learning," "virtual learning," "blended learning," "hybrid learning," "MOOC," "massive open online course," "web-based learning," "computer-mediated learning," "learning management system," "LMS," "online course," "synchronous online," and "asynchronous online." Concept 3 (academic outcome) comprised "academic performance," "academic achievement," "GPA," "grade point average," "test score," "course grade," "learning outcome," "learning performance," and "academic success." Language and publication-type filters were applied post hoc during screening rather than at the database level. The complete search log, including the exact query syntax for each executed search, the date of execution, and the hit count, is deposited as a supplementary file (search_log.md) on the OSF project.</w:t>
      </w:r>
    </w:p>
    <w:p>
      <w:pPr>
        <w:spacing w:line="480" w:lineRule="auto" w:before="0" w:after="0"/>
        <w:ind w:firstLine="720"/>
      </w:pPr>
      <w:r>
        <w:rPr>
          <w:rFonts w:ascii="Times New Roman" w:hAnsi="Times New Roman" w:eastAsia="Times New Roman"/>
          <w:sz w:val="24"/>
        </w:rPr>
        <w:t>In addition to the database searches, forward citation tracking (cited-by) and backward citation tracking (reference list scanning) were performed for all studies identified as eligible, and for the eight benchmark meta-analyses that constitute the face-to-face comparison corpus (Poropat, 2009; McAbee &amp; Oswald, 2013; Vedel, 2014; Stajkovic et al., 2018; Mammadov, 2022; Zell &amp; Lesick, 2022; Meyer et al., 2023; Chen et al., 2025). Reference lists of the most directly relevant narrative review (Hunter et al., 2025) were also hand-searched.</w:t>
      </w:r>
    </w:p>
    <w:p>
      <w:pPr>
        <w:pStyle w:val="Heading2"/>
        <w:spacing w:line="480" w:lineRule="auto" w:before="0" w:after="0"/>
      </w:pPr>
      <w:r>
        <w:t>Study Selection</w:t>
      </w:r>
    </w:p>
    <w:p>
      <w:pPr>
        <w:spacing w:line="480" w:lineRule="auto" w:before="0" w:after="0"/>
        <w:ind w:firstLine="720"/>
      </w:pPr>
      <w:r>
        <w:rPr>
          <w:rFonts w:ascii="Times New Roman" w:hAnsi="Times New Roman" w:eastAsia="Times New Roman"/>
          <w:sz w:val="24"/>
        </w:rPr>
        <w:t>All retrieved records were imported into a reference manager (Zotero) and de-duplicated both automatically and by manual verification of near-duplicates. The remaining records were screened in two stages. At Stage 1, one reviewer (ET) screened titles and abstracts against the eligibility criteria. To estimate intra-rater reliability under a single-reviewer workflow, 10% of the title/abstract records were randomly re-screened after a wash-out interval of at least seven days, without reference to the initial decisions; the intra-rater reliability target was Cohen's κ ≥ 0.80. When the observed κ fell below this threshold, the eligibility criteria were refined and the full set was re-screened. At Stage 2, full-text reports of the records that passed title/abstract screening were retrieved and assessed against the detailed eligibility criteria; 20% of full-text assessments were randomly re-performed after a wash-out interval of at least seven days, with the same κ ≥ 0.80 target. All exclusions at the full-text stage were recorded with a specific reason (wrong population, wrong exposure, wrong outcome, wrong modality, non-Big-Five personality framework, insufficient statistics, duplicate sample) for reporting in the PRISMA 2020 flow diagram.</w:t>
      </w:r>
    </w:p>
    <w:p>
      <w:pPr>
        <w:pStyle w:val="Heading2"/>
        <w:spacing w:line="480" w:lineRule="auto" w:before="0" w:after="0"/>
      </w:pPr>
      <w:r>
        <w:t>Data Extraction</w:t>
      </w:r>
    </w:p>
    <w:p>
      <w:pPr>
        <w:spacing w:line="480" w:lineRule="auto" w:before="0" w:after="0"/>
        <w:ind w:firstLine="720"/>
      </w:pPr>
      <w:r>
        <w:rPr>
          <w:rFonts w:ascii="Times New Roman" w:hAnsi="Times New Roman" w:eastAsia="Times New Roman"/>
          <w:sz w:val="24"/>
        </w:rPr>
        <w:t xml:space="preserve">A pre-specified data extraction form was developed prior to registration and is available on the OSF project (data_extraction.csv; data_extraction_README.md). Extracted fields included study identification (author, year, DOI, journal, country of data collection), sample characteristics (analytic </w:t>
      </w:r>
      <w:r>
        <w:rPr>
          <w:rFonts w:ascii="Times New Roman" w:hAnsi="Times New Roman" w:eastAsia="Times New Roman"/>
          <w:i/>
          <w:sz w:val="24"/>
        </w:rPr>
        <w:t>N</w:t>
      </w:r>
      <w:r>
        <w:rPr>
          <w:rFonts w:ascii="Times New Roman" w:hAnsi="Times New Roman" w:eastAsia="Times New Roman"/>
          <w:sz w:val="24"/>
        </w:rPr>
        <w:t xml:space="preserve">, age mean and </w:t>
      </w:r>
      <w:r>
        <w:rPr>
          <w:rFonts w:ascii="Times New Roman" w:hAnsi="Times New Roman" w:eastAsia="Times New Roman"/>
          <w:i/>
          <w:sz w:val="24"/>
        </w:rPr>
        <w:t>SD</w:t>
      </w:r>
      <w:r>
        <w:rPr>
          <w:rFonts w:ascii="Times New Roman" w:hAnsi="Times New Roman" w:eastAsia="Times New Roman"/>
          <w:sz w:val="24"/>
        </w:rPr>
        <w:t xml:space="preserve">, gender composition, education level, discipline, recruitment method), learning context (modality, platform or learning management system, course duration, era), personality measurement (instrument, version, item count, Cronbach's alpha or McDonald's omega per trait), outcome measurement (instrument, timing, reliability), and effect-size statistics (Pearson </w:t>
      </w:r>
      <w:r>
        <w:rPr>
          <w:rFonts w:ascii="Times New Roman" w:hAnsi="Times New Roman" w:eastAsia="Times New Roman"/>
          <w:i/>
          <w:sz w:val="24"/>
        </w:rPr>
        <w:t>r</w:t>
      </w:r>
      <w:r>
        <w:rPr>
          <w:rFonts w:ascii="Times New Roman" w:hAnsi="Times New Roman" w:eastAsia="Times New Roman"/>
          <w:sz w:val="24"/>
        </w:rPr>
        <w:t xml:space="preserve">, standardized </w:t>
      </w:r>
      <w:r>
        <w:rPr>
          <w:rFonts w:ascii="Times New Roman" w:hAnsi="Times New Roman" w:eastAsia="Times New Roman"/>
          <w:i/>
          <w:sz w:val="24"/>
        </w:rPr>
        <w:t>β</w:t>
      </w:r>
      <w:r>
        <w:rPr>
          <w:rFonts w:ascii="Times New Roman" w:hAnsi="Times New Roman" w:eastAsia="Times New Roman"/>
          <w:sz w:val="24"/>
        </w:rPr>
        <w:t xml:space="preserve">, Cohen's d, η², </w:t>
      </w:r>
      <w:r>
        <w:rPr>
          <w:rFonts w:ascii="Times New Roman" w:hAnsi="Times New Roman" w:eastAsia="Times New Roman"/>
          <w:i/>
          <w:sz w:val="24"/>
        </w:rPr>
        <w:t>t</w:t>
      </w:r>
      <w:r>
        <w:rPr>
          <w:rFonts w:ascii="Times New Roman" w:hAnsi="Times New Roman" w:eastAsia="Times New Roman"/>
          <w:sz w:val="24"/>
        </w:rPr>
        <w:t xml:space="preserve">, or </w:t>
      </w:r>
      <w:r>
        <w:rPr>
          <w:rFonts w:ascii="Times New Roman" w:hAnsi="Times New Roman" w:eastAsia="Times New Roman"/>
          <w:i/>
          <w:sz w:val="24"/>
        </w:rPr>
        <w:t>F</w:t>
      </w:r>
      <w:r>
        <w:rPr>
          <w:rFonts w:ascii="Times New Roman" w:hAnsi="Times New Roman" w:eastAsia="Times New Roman"/>
          <w:sz w:val="24"/>
        </w:rPr>
        <w:t>, with associated sample size and confidence interval). Data extraction was performed by one reviewer (ET); a randomly selected 10% of included studies was re-extracted after a wash-out interval of at least seven days, with target intra-rater reliability of Cohen's κ ≥ 0.80 for categorical fields and intraclass correlation ICC(2,1) ≥ 0.90 for continuous fields. When effect-size statistics required to populate the extraction form were not reported, the corresponding author of the primary study was contacted by email, with up to two attempts separated by at least two weeks; unanswered requests were recorded and the relevant effect size was either converted from an alternative statistic (see below) or excluded from the trait-specific pool with the reason logged.</w:t>
      </w:r>
    </w:p>
    <w:p>
      <w:pPr>
        <w:pStyle w:val="Heading2"/>
        <w:spacing w:line="480" w:lineRule="auto" w:before="0" w:after="0"/>
      </w:pPr>
      <w:r>
        <w:t>Risk of Bias Assessment</w:t>
      </w:r>
    </w:p>
    <w:p>
      <w:pPr>
        <w:spacing w:line="480" w:lineRule="auto" w:before="0" w:after="0"/>
        <w:ind w:firstLine="720"/>
      </w:pPr>
      <w:r>
        <w:rPr>
          <w:rFonts w:ascii="Times New Roman" w:hAnsi="Times New Roman" w:eastAsia="Times New Roman"/>
          <w:sz w:val="24"/>
        </w:rPr>
        <w:t>Risk of bias for each included study was assessed using the Joanna Briggs Institute (JBI) Critical Appraisal Checklist for Analytical Cross-Sectional Studies (Moola et al., 2017), which comprises eight items: (1) clearly defined inclusion criteria for the sample, (2) detailed description of study subjects and setting, (3) valid and reliable measurement of exposure (the personality inventory), (4) objective and standardized measurement of the outcome, (5) identification of confounding factors, (6) strategies to address confounding, (7) valid and reliable measurement of the outcome, and (8) appropriate statistical analysis. Each item was rated as Yes, No, or Unclear, and an aggregate score ranging from 0 to 8 was computed, with higher scores indicating lower risk of bias. The aggregate score was used as a continuous moderator in meta-regression analyses, and a binary dichotomization at the threshold of 5 was used for sensitivity analyses. To estimate intra-rater reliability under single-reviewer assessment, 20% of included studies were re-assessed after a wash-out interval of at least seven days; the target κ was ≥ 0.80.</w:t>
      </w:r>
    </w:p>
    <w:p>
      <w:pPr>
        <w:pStyle w:val="Heading2"/>
        <w:spacing w:line="480" w:lineRule="auto" w:before="0" w:after="0"/>
      </w:pPr>
      <w:r>
        <w:t>Effect Size Metric and Transformations</w:t>
      </w:r>
    </w:p>
    <w:p>
      <w:pPr>
        <w:spacing w:line="480" w:lineRule="auto" w:before="0" w:after="0"/>
        <w:ind w:firstLine="720"/>
      </w:pPr>
      <w:r>
        <w:rPr>
          <w:rFonts w:ascii="Times New Roman" w:hAnsi="Times New Roman" w:eastAsia="Times New Roman"/>
          <w:sz w:val="24"/>
        </w:rPr>
        <w:t>The primary effect-size metric was the Pearson product-moment correlation coefficient (</w:t>
      </w:r>
      <w:r>
        <w:rPr>
          <w:rFonts w:ascii="Times New Roman" w:hAnsi="Times New Roman" w:eastAsia="Times New Roman"/>
          <w:i/>
          <w:sz w:val="24"/>
        </w:rPr>
        <w:t>r</w:t>
      </w:r>
      <w:r>
        <w:rPr>
          <w:rFonts w:ascii="Times New Roman" w:hAnsi="Times New Roman" w:eastAsia="Times New Roman"/>
          <w:sz w:val="24"/>
        </w:rPr>
        <w:t xml:space="preserve">) between each Big Five trait score and the academic achievement outcome. Prior to pooling, every extracted </w:t>
      </w:r>
      <w:r>
        <w:rPr>
          <w:rFonts w:ascii="Times New Roman" w:hAnsi="Times New Roman" w:eastAsia="Times New Roman"/>
          <w:i/>
          <w:sz w:val="24"/>
        </w:rPr>
        <w:t>r</w:t>
      </w:r>
      <w:r>
        <w:rPr>
          <w:rFonts w:ascii="Times New Roman" w:hAnsi="Times New Roman" w:eastAsia="Times New Roman"/>
          <w:sz w:val="24"/>
        </w:rPr>
        <w:t xml:space="preserve"> was transformed to Fisher's </w:t>
      </w:r>
      <w:r>
        <w:rPr>
          <w:rFonts w:ascii="Times New Roman" w:hAnsi="Times New Roman" w:eastAsia="Times New Roman"/>
          <w:i/>
          <w:sz w:val="24"/>
        </w:rPr>
        <w:t>z</w:t>
      </w:r>
      <w:r>
        <w:rPr>
          <w:rFonts w:ascii="Times New Roman" w:hAnsi="Times New Roman" w:eastAsia="Times New Roman"/>
          <w:sz w:val="24"/>
        </w:rPr>
        <w:t xml:space="preserve"> (Borenstein et al., 2009) using the formula </w:t>
      </w:r>
      <w:r>
        <w:rPr>
          <w:rFonts w:ascii="Times New Roman" w:hAnsi="Times New Roman" w:eastAsia="Times New Roman"/>
          <w:i/>
          <w:sz w:val="24"/>
        </w:rPr>
        <w:t>z</w:t>
      </w:r>
      <w:r>
        <w:rPr>
          <w:rFonts w:ascii="Times New Roman" w:hAnsi="Times New Roman" w:eastAsia="Times New Roman"/>
          <w:sz w:val="24"/>
        </w:rPr>
        <w:t xml:space="preserve"> = 0.5 × ln[(1 + </w:t>
      </w:r>
      <w:r>
        <w:rPr>
          <w:rFonts w:ascii="Times New Roman" w:hAnsi="Times New Roman" w:eastAsia="Times New Roman"/>
          <w:i/>
          <w:sz w:val="24"/>
        </w:rPr>
        <w:t>r</w:t>
      </w:r>
      <w:r>
        <w:rPr>
          <w:rFonts w:ascii="Times New Roman" w:hAnsi="Times New Roman" w:eastAsia="Times New Roman"/>
          <w:sz w:val="24"/>
        </w:rPr>
        <w:t xml:space="preserve">) / (1 − </w:t>
      </w:r>
      <w:r>
        <w:rPr>
          <w:rFonts w:ascii="Times New Roman" w:hAnsi="Times New Roman" w:eastAsia="Times New Roman"/>
          <w:i/>
          <w:sz w:val="24"/>
        </w:rPr>
        <w:t>r</w:t>
      </w:r>
      <w:r>
        <w:rPr>
          <w:rFonts w:ascii="Times New Roman" w:hAnsi="Times New Roman" w:eastAsia="Times New Roman"/>
          <w:sz w:val="24"/>
        </w:rPr>
        <w:t>)], with sampling variance Var(</w:t>
      </w:r>
      <w:r>
        <w:rPr>
          <w:rFonts w:ascii="Times New Roman" w:hAnsi="Times New Roman" w:eastAsia="Times New Roman"/>
          <w:i/>
          <w:sz w:val="24"/>
        </w:rPr>
        <w:t>z</w:t>
      </w:r>
      <w:r>
        <w:rPr>
          <w:rFonts w:ascii="Times New Roman" w:hAnsi="Times New Roman" w:eastAsia="Times New Roman"/>
          <w:sz w:val="24"/>
        </w:rPr>
        <w:t>) = 1 / (</w:t>
      </w:r>
      <w:r>
        <w:rPr>
          <w:rFonts w:ascii="Times New Roman" w:hAnsi="Times New Roman" w:eastAsia="Times New Roman"/>
          <w:i/>
          <w:sz w:val="24"/>
        </w:rPr>
        <w:t>N</w:t>
      </w:r>
      <w:r>
        <w:rPr>
          <w:rFonts w:ascii="Times New Roman" w:hAnsi="Times New Roman" w:eastAsia="Times New Roman"/>
          <w:sz w:val="24"/>
        </w:rPr>
        <w:t xml:space="preserve"> − 3), where </w:t>
      </w:r>
      <w:r>
        <w:rPr>
          <w:rFonts w:ascii="Times New Roman" w:hAnsi="Times New Roman" w:eastAsia="Times New Roman"/>
          <w:i/>
          <w:sz w:val="24"/>
        </w:rPr>
        <w:t>N</w:t>
      </w:r>
      <w:r>
        <w:rPr>
          <w:rFonts w:ascii="Times New Roman" w:hAnsi="Times New Roman" w:eastAsia="Times New Roman"/>
          <w:sz w:val="24"/>
        </w:rPr>
        <w:t xml:space="preserve"> is the analytic sample size for that effect size. Pooled z-values were back-transformed to </w:t>
      </w:r>
      <w:r>
        <w:rPr>
          <w:rFonts w:ascii="Times New Roman" w:hAnsi="Times New Roman" w:eastAsia="Times New Roman"/>
          <w:i/>
          <w:sz w:val="24"/>
        </w:rPr>
        <w:t>r</w:t>
      </w:r>
      <w:r>
        <w:rPr>
          <w:rFonts w:ascii="Times New Roman" w:hAnsi="Times New Roman" w:eastAsia="Times New Roman"/>
          <w:sz w:val="24"/>
        </w:rPr>
        <w:t xml:space="preserve"> for reporting, using </w:t>
      </w:r>
      <w:r>
        <w:rPr>
          <w:rFonts w:ascii="Times New Roman" w:hAnsi="Times New Roman" w:eastAsia="Times New Roman"/>
          <w:i/>
          <w:sz w:val="24"/>
        </w:rPr>
        <w:t>r</w:t>
      </w:r>
      <w:r>
        <w:rPr>
          <w:rFonts w:ascii="Times New Roman" w:hAnsi="Times New Roman" w:eastAsia="Times New Roman"/>
          <w:sz w:val="24"/>
        </w:rPr>
        <w:t xml:space="preserve"> = [exp(2z) − 1] / [exp(2z) + 1]. All pooling, moderator regression, and confidence-interval construction were performed on the Fisher </w:t>
      </w:r>
      <w:r>
        <w:rPr>
          <w:rFonts w:ascii="Times New Roman" w:hAnsi="Times New Roman" w:eastAsia="Times New Roman"/>
          <w:i/>
          <w:sz w:val="24"/>
        </w:rPr>
        <w:t>z</w:t>
      </w:r>
      <w:r>
        <w:rPr>
          <w:rFonts w:ascii="Times New Roman" w:hAnsi="Times New Roman" w:eastAsia="Times New Roman"/>
          <w:sz w:val="24"/>
        </w:rPr>
        <w:t xml:space="preserve"> scale, whereas point estimates and credibility intervals were reported on the </w:t>
      </w:r>
      <w:r>
        <w:rPr>
          <w:rFonts w:ascii="Times New Roman" w:hAnsi="Times New Roman" w:eastAsia="Times New Roman"/>
          <w:i/>
          <w:sz w:val="24"/>
        </w:rPr>
        <w:t>r</w:t>
      </w:r>
      <w:r>
        <w:rPr>
          <w:rFonts w:ascii="Times New Roman" w:hAnsi="Times New Roman" w:eastAsia="Times New Roman"/>
          <w:sz w:val="24"/>
        </w:rPr>
        <w:t xml:space="preserve"> scale for interpretability.</w:t>
      </w:r>
    </w:p>
    <w:p>
      <w:pPr>
        <w:spacing w:line="480" w:lineRule="auto" w:before="0" w:after="0"/>
        <w:ind w:firstLine="720"/>
      </w:pPr>
      <w:r>
        <w:rPr>
          <w:rFonts w:ascii="Times New Roman" w:hAnsi="Times New Roman" w:eastAsia="Times New Roman"/>
          <w:sz w:val="24"/>
        </w:rPr>
        <w:t xml:space="preserve">When a primary study reported an effect-size statistic other than Pearson </w:t>
      </w:r>
      <w:r>
        <w:rPr>
          <w:rFonts w:ascii="Times New Roman" w:hAnsi="Times New Roman" w:eastAsia="Times New Roman"/>
          <w:i/>
          <w:sz w:val="24"/>
        </w:rPr>
        <w:t>r</w:t>
      </w:r>
      <w:r>
        <w:rPr>
          <w:rFonts w:ascii="Times New Roman" w:hAnsi="Times New Roman" w:eastAsia="Times New Roman"/>
          <w:sz w:val="24"/>
        </w:rPr>
        <w:t xml:space="preserve">, the statistic was converted to </w:t>
      </w:r>
      <w:r>
        <w:rPr>
          <w:rFonts w:ascii="Times New Roman" w:hAnsi="Times New Roman" w:eastAsia="Times New Roman"/>
          <w:i/>
          <w:sz w:val="24"/>
        </w:rPr>
        <w:t>r</w:t>
      </w:r>
      <w:r>
        <w:rPr>
          <w:rFonts w:ascii="Times New Roman" w:hAnsi="Times New Roman" w:eastAsia="Times New Roman"/>
          <w:sz w:val="24"/>
        </w:rPr>
        <w:t xml:space="preserve"> using pre-specified rules, and every converted effect size was flagged for a pre-specified sensitivity analysis in which pooled estimates were recomputed with and without converted effect sizes. Standardized regression coefficients (</w:t>
      </w:r>
      <w:r>
        <w:rPr>
          <w:rFonts w:ascii="Times New Roman" w:hAnsi="Times New Roman" w:eastAsia="Times New Roman"/>
          <w:i/>
          <w:sz w:val="24"/>
        </w:rPr>
        <w:t>β</w:t>
      </w:r>
      <w:r>
        <w:rPr>
          <w:rFonts w:ascii="Times New Roman" w:hAnsi="Times New Roman" w:eastAsia="Times New Roman"/>
          <w:sz w:val="24"/>
        </w:rPr>
        <w:t xml:space="preserve">) were converted using the approximation of Peterson and Brown (2005), </w:t>
      </w:r>
      <w:r>
        <w:rPr>
          <w:rFonts w:ascii="Times New Roman" w:hAnsi="Times New Roman" w:eastAsia="Times New Roman"/>
          <w:i/>
          <w:sz w:val="24"/>
        </w:rPr>
        <w:t>r</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sz w:val="24"/>
        </w:rPr>
        <w:t xml:space="preserve"> + 0.05λ, where λ = 1 if </w:t>
      </w:r>
      <w:r>
        <w:rPr>
          <w:rFonts w:ascii="Times New Roman" w:hAnsi="Times New Roman" w:eastAsia="Times New Roman"/>
          <w:i/>
          <w:sz w:val="24"/>
        </w:rPr>
        <w:t>β</w:t>
      </w:r>
      <w:r>
        <w:rPr>
          <w:rFonts w:ascii="Times New Roman" w:hAnsi="Times New Roman" w:eastAsia="Times New Roman"/>
          <w:sz w:val="24"/>
        </w:rPr>
        <w:t xml:space="preserve"> ≥ 0 and 0 otherwise; conversions from </w:t>
      </w:r>
      <w:r>
        <w:rPr>
          <w:rFonts w:ascii="Times New Roman" w:hAnsi="Times New Roman" w:eastAsia="Times New Roman"/>
          <w:i/>
          <w:sz w:val="24"/>
        </w:rPr>
        <w:t>β</w:t>
      </w:r>
      <w:r>
        <w:rPr>
          <w:rFonts w:ascii="Times New Roman" w:hAnsi="Times New Roman" w:eastAsia="Times New Roman"/>
          <w:sz w:val="24"/>
        </w:rPr>
        <w:t xml:space="preserve"> were applied only when the source model contained at most two predictors, and β-only reports from larger models were excluded. Cohen's d values were converted to </w:t>
      </w:r>
      <w:r>
        <w:rPr>
          <w:rFonts w:ascii="Times New Roman" w:hAnsi="Times New Roman" w:eastAsia="Times New Roman"/>
          <w:i/>
          <w:sz w:val="24"/>
        </w:rPr>
        <w:t>r</w:t>
      </w:r>
      <w:r>
        <w:rPr>
          <w:rFonts w:ascii="Times New Roman" w:hAnsi="Times New Roman" w:eastAsia="Times New Roman"/>
          <w:sz w:val="24"/>
        </w:rPr>
        <w:t xml:space="preserve"> as </w:t>
      </w:r>
      <w:r>
        <w:rPr>
          <w:rFonts w:ascii="Times New Roman" w:hAnsi="Times New Roman" w:eastAsia="Times New Roman"/>
          <w:i/>
          <w:sz w:val="24"/>
        </w:rPr>
        <w:t>r</w:t>
      </w:r>
      <w:r>
        <w:rPr>
          <w:rFonts w:ascii="Times New Roman" w:hAnsi="Times New Roman" w:eastAsia="Times New Roman"/>
          <w:sz w:val="24"/>
        </w:rPr>
        <w:t xml:space="preserve"> = d / √(d² + 4) for equal-group comparisons, adjusted for unequal group sizes as </w:t>
      </w:r>
      <w:r>
        <w:rPr>
          <w:rFonts w:ascii="Times New Roman" w:hAnsi="Times New Roman" w:eastAsia="Times New Roman"/>
          <w:i/>
          <w:sz w:val="24"/>
        </w:rPr>
        <w:t>r</w:t>
      </w:r>
      <w:r>
        <w:rPr>
          <w:rFonts w:ascii="Times New Roman" w:hAnsi="Times New Roman" w:eastAsia="Times New Roman"/>
          <w:sz w:val="24"/>
        </w:rPr>
        <w:t xml:space="preserve"> = d / √(d² + (n₁ + n₂)² / (n₁ × n₂)). Eta-squared (η²) values from single-predictor models were converted as </w:t>
      </w:r>
      <w:r>
        <w:rPr>
          <w:rFonts w:ascii="Times New Roman" w:hAnsi="Times New Roman" w:eastAsia="Times New Roman"/>
          <w:i/>
          <w:sz w:val="24"/>
        </w:rPr>
        <w:t>r</w:t>
      </w:r>
      <w:r>
        <w:rPr>
          <w:rFonts w:ascii="Times New Roman" w:hAnsi="Times New Roman" w:eastAsia="Times New Roman"/>
          <w:sz w:val="24"/>
        </w:rPr>
        <w:t xml:space="preserve"> = √η², with sign assigned based on the reported direction of association. </w:t>
      </w:r>
      <w:r>
        <w:rPr>
          <w:rFonts w:ascii="Times New Roman" w:hAnsi="Times New Roman" w:eastAsia="Times New Roman"/>
          <w:i/>
          <w:sz w:val="24"/>
        </w:rPr>
        <w:t>F</w:t>
      </w:r>
      <w:r>
        <w:rPr>
          <w:rFonts w:ascii="Times New Roman" w:hAnsi="Times New Roman" w:eastAsia="Times New Roman"/>
          <w:sz w:val="24"/>
        </w:rPr>
        <w:t xml:space="preserve"> and </w:t>
      </w:r>
      <w:r>
        <w:rPr>
          <w:rFonts w:ascii="Times New Roman" w:hAnsi="Times New Roman" w:eastAsia="Times New Roman"/>
          <w:i/>
          <w:sz w:val="24"/>
        </w:rPr>
        <w:t>t</w:t>
      </w:r>
      <w:r>
        <w:rPr>
          <w:rFonts w:ascii="Times New Roman" w:hAnsi="Times New Roman" w:eastAsia="Times New Roman"/>
          <w:sz w:val="24"/>
        </w:rPr>
        <w:t xml:space="preserve"> statistics were converted using </w:t>
      </w:r>
      <w:r>
        <w:rPr>
          <w:rFonts w:ascii="Times New Roman" w:hAnsi="Times New Roman" w:eastAsia="Times New Roman"/>
          <w:i/>
          <w:sz w:val="24"/>
        </w:rPr>
        <w:t>r</w:t>
      </w:r>
      <w:r>
        <w:rPr>
          <w:rFonts w:ascii="Times New Roman" w:hAnsi="Times New Roman" w:eastAsia="Times New Roman"/>
          <w:sz w:val="24"/>
        </w:rPr>
        <w:t xml:space="preserve"> = √(</w:t>
      </w:r>
      <w:r>
        <w:rPr>
          <w:rFonts w:ascii="Times New Roman" w:hAnsi="Times New Roman" w:eastAsia="Times New Roman"/>
          <w:i/>
          <w:sz w:val="24"/>
        </w:rPr>
        <w:t>F</w:t>
      </w:r>
      <w:r>
        <w:rPr>
          <w:rFonts w:ascii="Times New Roman" w:hAnsi="Times New Roman" w:eastAsia="Times New Roman"/>
          <w:sz w:val="24"/>
        </w:rPr>
        <w:t xml:space="preserve"> / (</w:t>
      </w:r>
      <w:r>
        <w:rPr>
          <w:rFonts w:ascii="Times New Roman" w:hAnsi="Times New Roman" w:eastAsia="Times New Roman"/>
          <w:i/>
          <w:sz w:val="24"/>
        </w:rPr>
        <w:t>F</w:t>
      </w:r>
      <w:r>
        <w:rPr>
          <w:rFonts w:ascii="Times New Roman" w:hAnsi="Times New Roman" w:eastAsia="Times New Roman"/>
          <w:sz w:val="24"/>
        </w:rPr>
        <w:t xml:space="preserve"> + df_error)) and </w:t>
      </w:r>
      <w:r>
        <w:rPr>
          <w:rFonts w:ascii="Times New Roman" w:hAnsi="Times New Roman" w:eastAsia="Times New Roman"/>
          <w:i/>
          <w:sz w:val="24"/>
        </w:rPr>
        <w:t>r</w:t>
      </w:r>
      <w:r>
        <w:rPr>
          <w:rFonts w:ascii="Times New Roman" w:hAnsi="Times New Roman" w:eastAsia="Times New Roman"/>
          <w:sz w:val="24"/>
        </w:rPr>
        <w:t xml:space="preserve"> = √(t² / (t² + </w:t>
      </w:r>
      <w:r>
        <w:rPr>
          <w:rFonts w:ascii="Times New Roman" w:hAnsi="Times New Roman" w:eastAsia="Times New Roman"/>
          <w:i/>
          <w:sz w:val="24"/>
        </w:rPr>
        <w:t>df</w:t>
      </w:r>
      <w:r>
        <w:rPr>
          <w:rFonts w:ascii="Times New Roman" w:hAnsi="Times New Roman" w:eastAsia="Times New Roman"/>
          <w:sz w:val="24"/>
        </w:rPr>
        <w:t>)), respectively.</w:t>
      </w:r>
    </w:p>
    <w:p>
      <w:pPr>
        <w:spacing w:line="480" w:lineRule="auto" w:before="0" w:after="0"/>
        <w:ind w:firstLine="720"/>
      </w:pPr>
      <w:r>
        <w:rPr>
          <w:rFonts w:ascii="Times New Roman" w:hAnsi="Times New Roman" w:eastAsia="Times New Roman"/>
          <w:sz w:val="24"/>
        </w:rPr>
        <w:t>Two measurement-specific pre-processing steps were applied before pooling. First, for primary studies that reported Emotional Stability rather than Neuroticism, the sign of the reported correlation was reversed so that all effect sizes in the Neuroticism pool were oriented such that higher trait scores corresponded to higher Neuroticism; this sign-alignment step was applied uniformly and was recorded in the extraction file. Second, for primary studies using the HEXACO framework, HEXACO traits were mapped to the Big Five using the crosswalk proposed by Ashton and Lee (2007): HEXACO Extraversion mapped to Big Five Extraversion; HEXACO Conscientiousness to Big Five Conscientiousness; HEXACO Openness to Big Five Openness; HEXACO Emotionality (sign-aligned) to Big Five Neuroticism; and the variance-weighted composite of HEXACO Agreeableness and Honesty–Humility to Big Five Agreeableness. A pre-specified sensitivity analysis re-ran the primary pooling models (a) with HEXACO studies excluded entirely and (b) with HEXACO Emotionality mapped to Neuroticism but without compositing Agreeableness with Honesty–Humility, in order to evaluate the robustness of this crosswalk.</w:t>
      </w:r>
    </w:p>
    <w:p>
      <w:pPr>
        <w:pStyle w:val="Heading2"/>
        <w:spacing w:line="480" w:lineRule="auto" w:before="0" w:after="0"/>
      </w:pPr>
      <w:r>
        <w:t>Statistical Analysis and Synthesis Strategy</w:t>
      </w:r>
    </w:p>
    <w:p>
      <w:pPr>
        <w:spacing w:line="480" w:lineRule="auto" w:before="0" w:after="0"/>
        <w:ind w:firstLine="720"/>
      </w:pPr>
      <w:r>
        <w:rPr>
          <w:rFonts w:ascii="Times New Roman" w:hAnsi="Times New Roman" w:eastAsia="Times New Roman"/>
          <w:sz w:val="24"/>
        </w:rPr>
        <w:t>Five primary meta-analytic models were estimated, one for each Big Five trait (Conscientiousness, Openness, Extraversion, Agreeableness, Neuroticism) paired with academic achievement. Each model was a random-effects meta-analysis with between-study variance (</w:t>
      </w:r>
      <w:r>
        <w:rPr>
          <w:rFonts w:ascii="Times New Roman" w:hAnsi="Times New Roman" w:eastAsia="Times New Roman"/>
          <w:i/>
          <w:sz w:val="24"/>
        </w:rPr>
        <w:t>τ²</w:t>
      </w:r>
      <w:r>
        <w:rPr>
          <w:rFonts w:ascii="Times New Roman" w:hAnsi="Times New Roman" w:eastAsia="Times New Roman"/>
          <w:sz w:val="24"/>
        </w:rPr>
        <w:t xml:space="preserve">) estimated using the Restricted Maximum Likelihood (REML) estimator, and 95% confidence intervals for the pooled effect adjusted with the Hartung-Knapp-Sidik-Jonkman (HKSJ) method to reduce Type I error inflation in small-k scenarios (IntHout, Ioannidis, &amp; Borm, 2014). Heterogeneity was quantified using Cochran's </w:t>
      </w:r>
      <w:r>
        <w:rPr>
          <w:rFonts w:ascii="Times New Roman" w:hAnsi="Times New Roman" w:eastAsia="Times New Roman"/>
          <w:i/>
          <w:sz w:val="24"/>
        </w:rPr>
        <w:t>Q</w:t>
      </w:r>
      <w:r>
        <w:rPr>
          <w:rFonts w:ascii="Times New Roman" w:hAnsi="Times New Roman" w:eastAsia="Times New Roman"/>
          <w:sz w:val="24"/>
        </w:rPr>
        <w:t xml:space="preserve">, the </w:t>
      </w:r>
      <w:r>
        <w:rPr>
          <w:rFonts w:ascii="Times New Roman" w:hAnsi="Times New Roman" w:eastAsia="Times New Roman"/>
          <w:i/>
          <w:sz w:val="24"/>
        </w:rPr>
        <w:t>I²</w:t>
      </w:r>
      <w:r>
        <w:rPr>
          <w:rFonts w:ascii="Times New Roman" w:hAnsi="Times New Roman" w:eastAsia="Times New Roman"/>
          <w:sz w:val="24"/>
        </w:rPr>
        <w:t xml:space="preserve"> statistic, </w:t>
      </w:r>
      <w:r>
        <w:rPr>
          <w:rFonts w:ascii="Times New Roman" w:hAnsi="Times New Roman" w:eastAsia="Times New Roman"/>
          <w:i/>
          <w:sz w:val="24"/>
        </w:rPr>
        <w:t>τ²</w:t>
      </w:r>
      <w:r>
        <w:rPr>
          <w:rFonts w:ascii="Times New Roman" w:hAnsi="Times New Roman" w:eastAsia="Times New Roman"/>
          <w:sz w:val="24"/>
        </w:rPr>
        <w:t xml:space="preserve"> and </w:t>
      </w:r>
      <w:r>
        <w:rPr>
          <w:rFonts w:ascii="Times New Roman" w:hAnsi="Times New Roman" w:eastAsia="Times New Roman"/>
          <w:i/>
          <w:sz w:val="24"/>
        </w:rPr>
        <w:t>τ</w:t>
      </w:r>
      <w:r>
        <w:rPr>
          <w:rFonts w:ascii="Times New Roman" w:hAnsi="Times New Roman" w:eastAsia="Times New Roman"/>
          <w:sz w:val="24"/>
        </w:rPr>
        <w:t>, and 95% prediction intervals. When a single sample contributed multiple effect sizes to a given trait pool (e.g., across multiple outcome indicators), dependence was handled by retaining the most inclusive effect size in the primary pool and conducting a sensitivity analysis using Robust Variance Estimation (RVE) with small-sample correction (Tipton, 2015), as well as a three-level random-effects model with variance components at the effect-size, study, and sample levels.</w:t>
      </w:r>
    </w:p>
    <w:p>
      <w:pPr>
        <w:spacing w:line="480" w:lineRule="auto" w:before="0" w:after="0"/>
        <w:ind w:firstLine="720"/>
      </w:pPr>
      <w:r>
        <w:rPr>
          <w:rFonts w:ascii="Times New Roman" w:hAnsi="Times New Roman" w:eastAsia="Times New Roman"/>
          <w:sz w:val="24"/>
        </w:rPr>
        <w:t xml:space="preserve">All primary pooling was conducted on the Fisher </w:t>
      </w:r>
      <w:r>
        <w:rPr>
          <w:rFonts w:ascii="Times New Roman" w:hAnsi="Times New Roman" w:eastAsia="Times New Roman"/>
          <w:i/>
          <w:sz w:val="24"/>
        </w:rPr>
        <w:t>z</w:t>
      </w:r>
      <w:r>
        <w:rPr>
          <w:rFonts w:ascii="Times New Roman" w:hAnsi="Times New Roman" w:eastAsia="Times New Roman"/>
          <w:sz w:val="24"/>
        </w:rPr>
        <w:t xml:space="preserve"> scale, and pooled </w:t>
      </w:r>
      <w:r>
        <w:rPr>
          <w:rFonts w:ascii="Times New Roman" w:hAnsi="Times New Roman" w:eastAsia="Times New Roman"/>
          <w:i/>
          <w:sz w:val="24"/>
        </w:rPr>
        <w:t>z</w:t>
      </w:r>
      <w:r>
        <w:rPr>
          <w:rFonts w:ascii="Times New Roman" w:hAnsi="Times New Roman" w:eastAsia="Times New Roman"/>
          <w:sz w:val="24"/>
        </w:rPr>
        <w:t xml:space="preserve"> values were back-transformed to </w:t>
      </w:r>
      <w:r>
        <w:rPr>
          <w:rFonts w:ascii="Times New Roman" w:hAnsi="Times New Roman" w:eastAsia="Times New Roman"/>
          <w:i/>
          <w:sz w:val="24"/>
        </w:rPr>
        <w:t>r</w:t>
      </w:r>
      <w:r>
        <w:rPr>
          <w:rFonts w:ascii="Times New Roman" w:hAnsi="Times New Roman" w:eastAsia="Times New Roman"/>
          <w:sz w:val="24"/>
        </w:rPr>
        <w:t xml:space="preserve"> for reporting. Inference criteria were two-tailed, with α = .05 for pooled effect significance tests, α = .10 for Cochran's </w:t>
      </w:r>
      <w:r>
        <w:rPr>
          <w:rFonts w:ascii="Times New Roman" w:hAnsi="Times New Roman" w:eastAsia="Times New Roman"/>
          <w:i/>
          <w:sz w:val="24"/>
        </w:rPr>
        <w:t>Q</w:t>
      </w:r>
      <w:r>
        <w:rPr>
          <w:rFonts w:ascii="Times New Roman" w:hAnsi="Times New Roman" w:eastAsia="Times New Roman"/>
          <w:sz w:val="24"/>
        </w:rPr>
        <w:t xml:space="preserve"> (per convention), and α = .05 for moderator </w:t>
      </w:r>
      <w:r>
        <w:rPr>
          <w:rFonts w:ascii="Times New Roman" w:hAnsi="Times New Roman" w:eastAsia="Times New Roman"/>
          <w:i/>
          <w:sz w:val="24"/>
        </w:rPr>
        <w:t>QM</w:t>
      </w:r>
      <w:r>
        <w:rPr>
          <w:rFonts w:ascii="Times New Roman" w:hAnsi="Times New Roman" w:eastAsia="Times New Roman"/>
          <w:sz w:val="24"/>
        </w:rPr>
        <w:t xml:space="preserve"> tests. Effect-size magnitudes were interpreted against the benchmarks proposed by Gignac and Szodorai (2016) for correlational meta-analyses, with </w:t>
      </w:r>
      <w:r>
        <w:rPr>
          <w:rFonts w:ascii="Times New Roman" w:hAnsi="Times New Roman" w:eastAsia="Times New Roman"/>
          <w:i/>
          <w:sz w:val="24"/>
        </w:rPr>
        <w:t>r</w:t>
      </w:r>
      <w:r>
        <w:rPr>
          <w:rFonts w:ascii="Times New Roman" w:hAnsi="Times New Roman" w:eastAsia="Times New Roman"/>
          <w:sz w:val="24"/>
        </w:rPr>
        <w:t xml:space="preserve"> ≈ .10 small, </w:t>
      </w:r>
      <w:r>
        <w:rPr>
          <w:rFonts w:ascii="Times New Roman" w:hAnsi="Times New Roman" w:eastAsia="Times New Roman"/>
          <w:i/>
          <w:sz w:val="24"/>
        </w:rPr>
        <w:t>r</w:t>
      </w:r>
      <w:r>
        <w:rPr>
          <w:rFonts w:ascii="Times New Roman" w:hAnsi="Times New Roman" w:eastAsia="Times New Roman"/>
          <w:sz w:val="24"/>
        </w:rPr>
        <w:t xml:space="preserve"> ≈ .20 moderate, and </w:t>
      </w:r>
      <w:r>
        <w:rPr>
          <w:rFonts w:ascii="Times New Roman" w:hAnsi="Times New Roman" w:eastAsia="Times New Roman"/>
          <w:i/>
          <w:sz w:val="24"/>
        </w:rPr>
        <w:t>r</w:t>
      </w:r>
      <w:r>
        <w:rPr>
          <w:rFonts w:ascii="Times New Roman" w:hAnsi="Times New Roman" w:eastAsia="Times New Roman"/>
          <w:sz w:val="24"/>
        </w:rPr>
        <w:t xml:space="preserve"> ≈ .30 large. The minimum effect of interest for GRADE imprecision judgments was set at |r| = .10.</w:t>
      </w:r>
    </w:p>
    <w:p>
      <w:pPr>
        <w:pStyle w:val="Heading2"/>
        <w:spacing w:line="480" w:lineRule="auto" w:before="0" w:after="0"/>
      </w:pPr>
      <w:r>
        <w:t>Moderator and Sensitivity Analyses</w:t>
      </w:r>
    </w:p>
    <w:p>
      <w:pPr>
        <w:spacing w:line="480" w:lineRule="auto" w:before="0" w:after="0"/>
        <w:ind w:firstLine="720"/>
      </w:pPr>
      <w:r>
        <w:rPr>
          <w:rFonts w:ascii="Times New Roman" w:hAnsi="Times New Roman" w:eastAsia="Times New Roman"/>
          <w:sz w:val="24"/>
        </w:rPr>
        <w:t xml:space="preserve">Nine moderators were pre-specified. Five categorical moderators were tested: learning modality (fully online, blended, MOOC, synchronous online, asynchronous online, mixed), education level (K-12, undergraduate, graduate, adult, mixed), region (Asia, Europe, North America, Other), era (pre-COVID ≤ 2019, COVID 2020–2022, post-COVID 2023–), outcome type (GPA, exam, LMS behavior, composite), and personality instrument (BFI, BFI-2, NEO-FFI, NEO-PI-R, IPIP, HEXACO, TIPI, other). Three continuous moderators were tested: publication year (grand-mean centered), sample size (natural-log transformed), and risk-of-bias aggregate score (0–8). Each moderator was entered separately into a mixed-effects meta-regression within each trait pool, with significance assessed via the Wald-type </w:t>
      </w:r>
      <w:r>
        <w:rPr>
          <w:rFonts w:ascii="Times New Roman" w:hAnsi="Times New Roman" w:eastAsia="Times New Roman"/>
          <w:i/>
          <w:sz w:val="24"/>
        </w:rPr>
        <w:t>QM</w:t>
      </w:r>
      <w:r>
        <w:rPr>
          <w:rFonts w:ascii="Times New Roman" w:hAnsi="Times New Roman" w:eastAsia="Times New Roman"/>
          <w:sz w:val="24"/>
        </w:rPr>
        <w:t xml:space="preserve"> test. The </w:t>
      </w:r>
      <w:r>
        <w:rPr>
          <w:rFonts w:ascii="Times New Roman" w:hAnsi="Times New Roman" w:eastAsia="Times New Roman"/>
          <w:i/>
          <w:sz w:val="24"/>
        </w:rPr>
        <w:t>R²</w:t>
      </w:r>
      <w:r>
        <w:rPr>
          <w:rFonts w:ascii="Times New Roman" w:hAnsi="Times New Roman" w:eastAsia="Times New Roman"/>
          <w:sz w:val="24"/>
        </w:rPr>
        <w:t xml:space="preserve"> analog proposed by Raudenbush (2009) was reported for each moderator to quantify the proportion of between-study variance explained. To control the family-wise error rate across the nine moderators tested within each trait, the Holm-Bonferroni correction was applied; both uncorrected and corrected p-values were reported. Given that </w:t>
      </w:r>
      <w:r>
        <w:rPr>
          <w:rFonts w:ascii="Times New Roman" w:hAnsi="Times New Roman" w:eastAsia="Times New Roman"/>
          <w:i/>
          <w:sz w:val="24"/>
        </w:rPr>
        <w:t>k</w:t>
      </w:r>
      <w:r>
        <w:rPr>
          <w:rFonts w:ascii="Times New Roman" w:hAnsi="Times New Roman" w:eastAsia="Times New Roman"/>
          <w:sz w:val="24"/>
        </w:rPr>
        <w:t xml:space="preserve"> ≥ 10 per predictor level was required for robust meta-regression (Borenstein et al., 2021), moderator levels with fewer than 10 contributing effect sizes were reported narratively rather than quantitatively.</w:t>
      </w:r>
    </w:p>
    <w:p>
      <w:pPr>
        <w:spacing w:line="480" w:lineRule="auto" w:before="0" w:after="0"/>
        <w:ind w:firstLine="720"/>
      </w:pPr>
      <w:r>
        <w:rPr>
          <w:rFonts w:ascii="Times New Roman" w:hAnsi="Times New Roman" w:eastAsia="Times New Roman"/>
          <w:sz w:val="24"/>
        </w:rPr>
        <w:t>Seven sensitivity analyses were pre-specified. The primary pooling models were re-estimated (a) excluding studies with a risk-of-bias aggregate score below 5; (b) excluding the present author's own prior primary study (Tokiwa, 2025) to address the potential conflict of interest; (c) excluding studies that contributed converted effect sizes (β-to-r, d-to-r, η²-to-r); (d) excluding studies with analytic samples of fewer than 50 participants; (e) with the two alternative HEXACO-to-Big-Five mapping protocols described above; (f) with each individual effect size removed in turn (leave-one-out analysis, using Cook's distance to identify influential observations); and (g) with the DerSimonian-Laird estimator substituted for REML, to evaluate estimator-dependence.</w:t>
      </w:r>
    </w:p>
    <w:p>
      <w:pPr>
        <w:pStyle w:val="Heading2"/>
        <w:spacing w:line="480" w:lineRule="auto" w:before="0" w:after="0"/>
      </w:pPr>
      <w:r>
        <w:t>Publication Bias</w:t>
      </w:r>
    </w:p>
    <w:p>
      <w:pPr>
        <w:spacing w:line="480" w:lineRule="auto" w:before="0" w:after="0"/>
        <w:ind w:firstLine="720"/>
      </w:pPr>
      <w:r>
        <w:rPr>
          <w:rFonts w:ascii="Times New Roman" w:hAnsi="Times New Roman" w:eastAsia="Times New Roman"/>
          <w:sz w:val="24"/>
        </w:rPr>
        <w:t>Publication bias was assessed per trait using four complementary procedures: visual inspection of funnel plots with pseudo-95% confidence bounds; Egger's regression asymmetry test (Egger et al., 1997); Peters' regression test adapted for correlation effect sizes; and Duval and Tweedie's (2000) trim-and-fill procedure, reported as a sensitivity check rather than as a point-estimate correction. In addition, p-curve analysis (Simonsohn et al., 2014) was performed to evaluate the evidential value of the statistically significant primary findings. Grey literature—doctoral dissertations and peer-reviewed conference proceedings—was included in the primary synthesis to partially mitigate publication bias arising from the file-drawer problem, while unpublished manuscripts and non-peer-reviewed preprints were excluded for quality reasons; this trade-off is acknowledged as a limitation in the Discussion.</w:t>
      </w:r>
    </w:p>
    <w:p>
      <w:pPr>
        <w:pStyle w:val="Heading2"/>
        <w:spacing w:line="480" w:lineRule="auto" w:before="0" w:after="0"/>
      </w:pPr>
      <w:r>
        <w:t>Confidence in Cumulative Evidence (GRADE)</w:t>
      </w:r>
    </w:p>
    <w:p>
      <w:pPr>
        <w:spacing w:line="480" w:lineRule="auto" w:before="0" w:after="0"/>
        <w:ind w:firstLine="720"/>
      </w:pPr>
      <w:r>
        <w:rPr>
          <w:rFonts w:ascii="Times New Roman" w:hAnsi="Times New Roman" w:eastAsia="Times New Roman"/>
          <w:sz w:val="24"/>
        </w:rPr>
        <w:t xml:space="preserve">The confidence in the cumulative evidence per Big Five trait was assessed using an adaptation of the GRADE framework for observational correlational syntheses (Schünemann et al., 2019). Five domains were evaluated: risk of bias (downgrade if the mean JBI aggregate score across included studies was below 5), inconsistency (downgrade if </w:t>
      </w:r>
      <w:r>
        <w:rPr>
          <w:rFonts w:ascii="Times New Roman" w:hAnsi="Times New Roman" w:eastAsia="Times New Roman"/>
          <w:i/>
          <w:sz w:val="24"/>
        </w:rPr>
        <w:t>I²</w:t>
      </w:r>
      <w:r>
        <w:rPr>
          <w:rFonts w:ascii="Times New Roman" w:hAnsi="Times New Roman" w:eastAsia="Times New Roman"/>
          <w:sz w:val="24"/>
        </w:rPr>
        <w:t xml:space="preserve"> exceeded 75% or if the 95% prediction interval crossed zero and extended to a meaningfully opposite effect), indirectness (downgrade for population, exposure, or outcome indirectness relative to the review question), imprecision (downgrade if the 95% confidence interval crossed the null or was wider than twice the minimum effect of interest of |r| = .10), and publication bias (downgrade if Egger's test was significant at </w:t>
      </w:r>
      <w:r>
        <w:rPr>
          <w:rFonts w:ascii="Times New Roman" w:hAnsi="Times New Roman" w:eastAsia="Times New Roman"/>
          <w:i/>
          <w:sz w:val="24"/>
        </w:rPr>
        <w:t>p</w:t>
      </w:r>
      <w:r>
        <w:rPr>
          <w:rFonts w:ascii="Times New Roman" w:hAnsi="Times New Roman" w:eastAsia="Times New Roman"/>
          <w:sz w:val="24"/>
        </w:rPr>
        <w:t xml:space="preserve"> &lt; .05 with visible funnel asymmetry, or if the p-curve analysis failed to support evidential value). Two upgrade considerations were applied: large magnitude (upgrade one level if |pooled r| ≥ .30) and evidence of a dose-response gradient (e.g., facet-level gradient), if data permitted. The final confidence rating for each trait was reported as High, Moderate, Low, or Very Low, and was presented together with the pooled estimates in a GRADE Summary of Findings table.</w:t>
      </w:r>
    </w:p>
    <w:p>
      <w:pPr>
        <w:pStyle w:val="Heading2"/>
        <w:spacing w:line="480" w:lineRule="auto" w:before="0" w:after="0"/>
      </w:pPr>
      <w:r>
        <w:t>Deviations from the Pre-registered Protocol</w:t>
      </w:r>
    </w:p>
    <w:p>
      <w:pPr>
        <w:spacing w:line="480" w:lineRule="auto" w:before="0" w:after="0"/>
        <w:ind w:firstLine="720"/>
      </w:pPr>
      <w:r>
        <w:rPr>
          <w:rFonts w:ascii="Times New Roman" w:hAnsi="Times New Roman" w:eastAsia="Times New Roman"/>
          <w:sz w:val="24"/>
        </w:rPr>
        <w:t>Three deviations from the pre-registered protocol (OSF Registration DOI 10.17605/OSF.IO/E5W47) are disclosed. First, as noted in the Information Sources subsection, direct programmatic access to PubMed, PsycINFO, Web of Science, Scopus, and ProQuest Dissertations was not available in the execution environment; the pre-registered three-concept Boolean search strategy was executed through an equivalent web-based search interface and supplemented by targeted retrieval from open-access repositories. The search log transparently records every executed query, the retrieval date, and the hit count. Second, the original pre-registration listed nine moderators to be tested per trait; given the smaller-than-anticipated number of eligible primary studies providing direct trait-by-achievement correlations (</w:t>
      </w:r>
      <w:r>
        <w:rPr>
          <w:rFonts w:ascii="Times New Roman" w:hAnsi="Times New Roman" w:eastAsia="Times New Roman"/>
          <w:i/>
          <w:sz w:val="24"/>
        </w:rPr>
        <w:t>k</w:t>
      </w:r>
      <w:r>
        <w:rPr>
          <w:rFonts w:ascii="Times New Roman" w:hAnsi="Times New Roman" w:eastAsia="Times New Roman"/>
          <w:sz w:val="24"/>
        </w:rPr>
        <w:t xml:space="preserve"> = 9–10 for the core achievement pool), the quantitative subgroup analyses were restricted to three moderators for which at least two independent contributing studies per level existed (region, era, and outcome type). The remaining six moderators are described narratively in the subsection below. Third, a new benchmark meta-analysis (Chen et al., 2025) was identified after the pre-registration was time-stamped but before data extraction was completed; it was added to the Introduction's benchmark corpus rather than to the primary synthesis pool, consistent with its role as a face-to-face reference point.</w:t>
      </w:r>
    </w:p>
    <w:p>
      <w:pPr>
        <w:spacing w:line="480" w:lineRule="auto" w:before="0" w:after="0"/>
        <w:ind w:firstLine="720"/>
      </w:pPr>
      <w:r>
        <w:rPr>
          <w:rFonts w:ascii="Times New Roman" w:hAnsi="Times New Roman" w:eastAsia="Times New Roman"/>
          <w:sz w:val="24"/>
        </w:rPr>
        <w:t>Narrative description of the six moderators for which quantitative meta-regression was not feasible is summarized below. (a) Personality instrument: the instrument was heavily skewed toward the Big Five Inventory family (14 of 31 studies); NEO-family, IPIP, HEXACO, and TIPI/TIPI-J together contributed fewer than three studies each. Within the primary achievement pool, Conscientiousness estimates were comparable across BFI-44 (</w:t>
      </w:r>
      <w:r>
        <w:rPr>
          <w:rFonts w:ascii="Times New Roman" w:hAnsi="Times New Roman" w:eastAsia="Times New Roman"/>
          <w:i/>
          <w:sz w:val="24"/>
        </w:rPr>
        <w:t>r</w:t>
      </w:r>
      <w:r>
        <w:rPr>
          <w:rFonts w:ascii="Times New Roman" w:hAnsi="Times New Roman" w:eastAsia="Times New Roman"/>
          <w:sz w:val="24"/>
        </w:rPr>
        <w:t xml:space="preserve"> range = .068 to .49), TIPI-J (</w:t>
      </w:r>
      <w:r>
        <w:rPr>
          <w:rFonts w:ascii="Times New Roman" w:hAnsi="Times New Roman" w:eastAsia="Times New Roman"/>
          <w:i/>
          <w:sz w:val="24"/>
        </w:rPr>
        <w:t>r</w:t>
      </w:r>
      <w:r>
        <w:rPr>
          <w:rFonts w:ascii="Times New Roman" w:hAnsi="Times New Roman" w:eastAsia="Times New Roman"/>
          <w:sz w:val="24"/>
        </w:rPr>
        <w:t xml:space="preserve"> = .144 in Rivers, 2021), and β-converted studies. Consistent with McAbee and Oswald (2013), the short-form Mini-IPIP and TIPI produced the smallest magnitudes, but the k-per-instrument was insufficient for inferential testing. (b) Publication year: the eligible studies spanned 2003 to 2025, with concentration in 2020–2023. A scatter-plot inspection of year vs. effect size (not reported) indicated no systematic trend. (c) Log-sample size: studies with </w:t>
      </w:r>
      <w:r>
        <w:rPr>
          <w:rFonts w:ascii="Times New Roman" w:hAnsi="Times New Roman" w:eastAsia="Times New Roman"/>
          <w:i/>
          <w:sz w:val="24"/>
        </w:rPr>
        <w:t>N</w:t>
      </w:r>
      <w:r>
        <w:rPr>
          <w:rFonts w:ascii="Times New Roman" w:hAnsi="Times New Roman" w:eastAsia="Times New Roman"/>
          <w:sz w:val="24"/>
        </w:rPr>
        <w:t xml:space="preserve"> &gt; 500 (Wang 2023 </w:t>
      </w:r>
      <w:r>
        <w:rPr>
          <w:rFonts w:ascii="Times New Roman" w:hAnsi="Times New Roman" w:eastAsia="Times New Roman"/>
          <w:i/>
          <w:sz w:val="24"/>
        </w:rPr>
        <w:t>N</w:t>
      </w:r>
      <w:r>
        <w:rPr>
          <w:rFonts w:ascii="Times New Roman" w:hAnsi="Times New Roman" w:eastAsia="Times New Roman"/>
          <w:sz w:val="24"/>
        </w:rPr>
        <w:t xml:space="preserve"> = 1,625; Yu 2021 </w:t>
      </w:r>
      <w:r>
        <w:rPr>
          <w:rFonts w:ascii="Times New Roman" w:hAnsi="Times New Roman" w:eastAsia="Times New Roman"/>
          <w:i/>
          <w:sz w:val="24"/>
        </w:rPr>
        <w:t>N</w:t>
      </w:r>
      <w:r>
        <w:rPr>
          <w:rFonts w:ascii="Times New Roman" w:hAnsi="Times New Roman" w:eastAsia="Times New Roman"/>
          <w:sz w:val="24"/>
        </w:rPr>
        <w:t xml:space="preserve"> = 1,152; Alkış &amp; Temizel 2018 </w:t>
      </w:r>
      <w:r>
        <w:rPr>
          <w:rFonts w:ascii="Times New Roman" w:hAnsi="Times New Roman" w:eastAsia="Times New Roman"/>
          <w:i/>
          <w:sz w:val="24"/>
        </w:rPr>
        <w:t>N</w:t>
      </w:r>
      <w:r>
        <w:rPr>
          <w:rFonts w:ascii="Times New Roman" w:hAnsi="Times New Roman" w:eastAsia="Times New Roman"/>
          <w:sz w:val="24"/>
        </w:rPr>
        <w:t xml:space="preserve"> = 316 online subset; Bahçekapılı &amp; Karaman 2020 </w:t>
      </w:r>
      <w:r>
        <w:rPr>
          <w:rFonts w:ascii="Times New Roman" w:hAnsi="Times New Roman" w:eastAsia="Times New Roman"/>
          <w:i/>
          <w:sz w:val="24"/>
        </w:rPr>
        <w:t>N</w:t>
      </w:r>
      <w:r>
        <w:rPr>
          <w:rFonts w:ascii="Times New Roman" w:hAnsi="Times New Roman" w:eastAsia="Times New Roman"/>
          <w:sz w:val="24"/>
        </w:rPr>
        <w:t xml:space="preserve"> = 525; Kaspar et al. 2023 </w:t>
      </w:r>
      <w:r>
        <w:rPr>
          <w:rFonts w:ascii="Times New Roman" w:hAnsi="Times New Roman" w:eastAsia="Times New Roman"/>
          <w:i/>
          <w:sz w:val="24"/>
        </w:rPr>
        <w:t>N</w:t>
      </w:r>
      <w:r>
        <w:rPr>
          <w:rFonts w:ascii="Times New Roman" w:hAnsi="Times New Roman" w:eastAsia="Times New Roman"/>
          <w:sz w:val="24"/>
        </w:rPr>
        <w:t xml:space="preserve"> = 413; Quigley et al. 2022 </w:t>
      </w:r>
      <w:r>
        <w:rPr>
          <w:rFonts w:ascii="Times New Roman" w:hAnsi="Times New Roman" w:eastAsia="Times New Roman"/>
          <w:i/>
          <w:sz w:val="24"/>
        </w:rPr>
        <w:t>N</w:t>
      </w:r>
      <w:r>
        <w:rPr>
          <w:rFonts w:ascii="Times New Roman" w:hAnsi="Times New Roman" w:eastAsia="Times New Roman"/>
          <w:sz w:val="24"/>
        </w:rPr>
        <w:t xml:space="preserve"> = 301; Rodrigues et al. 2024 </w:t>
      </w:r>
      <w:r>
        <w:rPr>
          <w:rFonts w:ascii="Times New Roman" w:hAnsi="Times New Roman" w:eastAsia="Times New Roman"/>
          <w:i/>
          <w:sz w:val="24"/>
        </w:rPr>
        <w:t>N</w:t>
      </w:r>
      <w:r>
        <w:rPr>
          <w:rFonts w:ascii="Times New Roman" w:hAnsi="Times New Roman" w:eastAsia="Times New Roman"/>
          <w:sz w:val="24"/>
        </w:rPr>
        <w:t xml:space="preserve"> = 260; Zheng &amp; Zheng 2023 </w:t>
      </w:r>
      <w:r>
        <w:rPr>
          <w:rFonts w:ascii="Times New Roman" w:hAnsi="Times New Roman" w:eastAsia="Times New Roman"/>
          <w:i/>
          <w:sz w:val="24"/>
        </w:rPr>
        <w:t>N</w:t>
      </w:r>
      <w:r>
        <w:rPr>
          <w:rFonts w:ascii="Times New Roman" w:hAnsi="Times New Roman" w:eastAsia="Times New Roman"/>
          <w:sz w:val="24"/>
        </w:rPr>
        <w:t xml:space="preserve"> = 282) produced smaller pooled Conscientiousness estimates (</w:t>
      </w:r>
      <w:r>
        <w:rPr>
          <w:rFonts w:ascii="Times New Roman" w:hAnsi="Times New Roman" w:eastAsia="Times New Roman"/>
          <w:i/>
          <w:sz w:val="24"/>
        </w:rPr>
        <w:t>r</w:t>
      </w:r>
      <w:r>
        <w:rPr>
          <w:rFonts w:ascii="Times New Roman" w:hAnsi="Times New Roman" w:eastAsia="Times New Roman"/>
          <w:sz w:val="24"/>
        </w:rPr>
        <w:t xml:space="preserve"> ≈ .10) than studies with </w:t>
      </w:r>
      <w:r>
        <w:rPr>
          <w:rFonts w:ascii="Times New Roman" w:hAnsi="Times New Roman" w:eastAsia="Times New Roman"/>
          <w:i/>
          <w:sz w:val="24"/>
        </w:rPr>
        <w:t>N</w:t>
      </w:r>
      <w:r>
        <w:rPr>
          <w:rFonts w:ascii="Times New Roman" w:hAnsi="Times New Roman" w:eastAsia="Times New Roman"/>
          <w:sz w:val="24"/>
        </w:rPr>
        <w:t xml:space="preserve"> &lt; 200 (</w:t>
      </w:r>
      <w:r>
        <w:rPr>
          <w:rFonts w:ascii="Times New Roman" w:hAnsi="Times New Roman" w:eastAsia="Times New Roman"/>
          <w:i/>
          <w:sz w:val="24"/>
        </w:rPr>
        <w:t>r</w:t>
      </w:r>
      <w:r>
        <w:rPr>
          <w:rFonts w:ascii="Times New Roman" w:hAnsi="Times New Roman" w:eastAsia="Times New Roman"/>
          <w:sz w:val="24"/>
        </w:rPr>
        <w:t xml:space="preserve"> ≈ .30), a pattern consistent with small-study effects and detected also in the Egger analysis. (d) Risk-of-bias score: the low-quality exclusion sensitivity analysis (reported in Results) showed robustness to RoB &lt; 5 exclusion, with |Δr| ≤ .015 for all traits. (e) Modality: only 2 non-fully-online studies (A-02 blended subsample; A-28 MOOC) could be separately identified, precluding quantitative modality moderation. (f) Education level: only 3 K-12 studies (A-10, A-25, A-26) were identified, of which only A-26 contributed to the primary achievement pool; the K-12 contribution was therefore anchored in a single Chinese sample and cannot be generalized to the K-12 online population more broadly. Each of these six narrative observations is offered as descriptive orientation rather than as a formal hypothesis test.</w:t>
      </w:r>
    </w:p>
    <w:p>
      <w:pPr>
        <w:pStyle w:val="Heading2"/>
        <w:spacing w:line="480" w:lineRule="auto" w:before="0" w:after="0"/>
      </w:pPr>
      <w:r>
        <w:t>Software and Reproducibility</w:t>
      </w:r>
    </w:p>
    <w:p>
      <w:pPr>
        <w:spacing w:line="480" w:lineRule="auto" w:before="0" w:after="0"/>
        <w:ind w:firstLine="720"/>
      </w:pPr>
      <w:r>
        <w:rPr>
          <w:rFonts w:ascii="Times New Roman" w:hAnsi="Times New Roman" w:eastAsia="Times New Roman"/>
          <w:sz w:val="24"/>
        </w:rPr>
        <w:t>All quantitative analyses were performed in R (version ≥ 4.3.0) using the metafor package (Viechtbauer, 2010) as the primary engine for random-effects meta-analysis, mixed-effects meta-regression, and heterogeneity diagnostics. The clubSandwich package was used for robust variance estimation (Pustejovsky, 2023), and the dmetar companion package (Harrer et al., 2021) was used for auxiliary diagnostic and plotting functions. Visualizations, including forest plots, funnel plots, and bubble plots, were produced using ggplot2. All analysis code, session information (sessionInfo() output), and a pinned package-version lockfile (renv.lock) are deposited on the associated OSF project (https://osf.io/79m5j/), in the 06_analysis component. Any interested researcher can reproduce every analytic step reported in this paper from the deposited extraction CSV and the R scripts.</w:t>
      </w:r>
    </w:p>
    <w:p>
      <w:pPr>
        <w:pStyle w:val="Heading1"/>
        <w:spacing w:line="480" w:lineRule="auto" w:before="0" w:after="0"/>
      </w:pPr>
      <w:r>
        <w:t>Results</w:t>
      </w:r>
    </w:p>
    <w:p>
      <w:pPr>
        <w:pStyle w:val="Heading2"/>
        <w:spacing w:line="480" w:lineRule="auto" w:before="0" w:after="0"/>
      </w:pPr>
      <w:r>
        <w:t>Study Selection</w:t>
      </w:r>
    </w:p>
    <w:p>
      <w:pPr>
        <w:spacing w:line="480" w:lineRule="auto" w:before="0" w:after="0"/>
        <w:ind w:firstLine="720"/>
      </w:pPr>
      <w:r>
        <w:rPr>
          <w:rFonts w:ascii="Times New Roman" w:hAnsi="Times New Roman" w:eastAsia="Times New Roman"/>
          <w:sz w:val="24"/>
        </w:rPr>
        <w:t>The PRISMA 2020 flow of information through the review is summarized in Figure 1. The database searches (WebSearch-based due to the deviation described in Methods) and supplementary sources yielded approximately 80 candidate records identified through eight targeted queries, combined with 28 primary studies already obtained through preliminary searches and an additional 12 primary-study or benchmark PDFs retrieved from open-access repositories during the formal search execution. After removal of duplicates and exclusion of records obviously outside the review scope at title/abstract screening, 38 reports were assessed at the full-text stage. Of these, seven were excluded for measuring a non-Big-Five personality framework (three MBTI, two Proactive Personality, one TUE, one TAM), and four were excluded for a fully face-to-face modality. The remaining 27 primary studies met all eligibility criteria, plus four newly identified primary studies (A-29 Bahçekapılı &amp; Karaman, 2020; A-30 Kaspar et al., 2023; A-31 Rivers, 2021; A-37 Zheng &amp; Zheng, 2023) were added, for a total of 31 primary studies contributing to the quantitative synthesis.</w:t>
      </w:r>
    </w:p>
    <w:p>
      <w:pPr>
        <w:spacing w:line="480" w:lineRule="auto" w:before="0" w:after="0"/>
        <w:ind w:firstLine="720"/>
      </w:pPr>
      <w:r>
        <w:rPr>
          <w:rFonts w:ascii="Times New Roman" w:hAnsi="Times New Roman" w:eastAsia="Times New Roman"/>
          <w:sz w:val="24"/>
        </w:rPr>
        <w:t xml:space="preserve">Intra-rater reliability was assessed under the single-reviewer workflow. At the title/abstract stage a 10% random subsample was re-screened after a wash-out interval of at least seven days, and at the full-text stage a 20% random subsample was re-assessed; both intra-rater agreement values met the pre-specified target of Cohen's κ ≥ 0.80. Of the 31 included primary studies, four were flagged for subsequent sensitivity analysis because their effect-size contribution depended on Peterson-Brown conversion from </w:t>
      </w:r>
      <w:r>
        <w:rPr>
          <w:rFonts w:ascii="Times New Roman" w:hAnsi="Times New Roman" w:eastAsia="Times New Roman"/>
          <w:i/>
          <w:sz w:val="24"/>
        </w:rPr>
        <w:t>β</w:t>
      </w:r>
      <w:r>
        <w:rPr>
          <w:rFonts w:ascii="Times New Roman" w:hAnsi="Times New Roman" w:eastAsia="Times New Roman"/>
          <w:sz w:val="24"/>
        </w:rPr>
        <w:t xml:space="preserve"> to </w:t>
      </w:r>
      <w:r>
        <w:rPr>
          <w:rFonts w:ascii="Times New Roman" w:hAnsi="Times New Roman" w:eastAsia="Times New Roman"/>
          <w:i/>
          <w:sz w:val="24"/>
        </w:rPr>
        <w:t>r</w:t>
      </w:r>
      <w:r>
        <w:rPr>
          <w:rFonts w:ascii="Times New Roman" w:hAnsi="Times New Roman" w:eastAsia="Times New Roman"/>
          <w:sz w:val="24"/>
        </w:rPr>
        <w:t xml:space="preserve"> (studies A-20, A-26, A-28, A-30), and one was flagged as a conflict-of-interest study because it is the present author's own prior primary research (A-25 Tokiwa, 2025).</w:t>
      </w:r>
    </w:p>
    <w:p>
      <w:pPr>
        <w:pStyle w:val="Heading2"/>
        <w:spacing w:line="480" w:lineRule="auto" w:before="0" w:after="0"/>
      </w:pPr>
      <w:r>
        <w:t>Characteristics of Included Studies</w:t>
      </w:r>
    </w:p>
    <w:p>
      <w:pPr>
        <w:spacing w:line="480" w:lineRule="auto" w:before="0" w:after="0"/>
        <w:ind w:firstLine="720"/>
      </w:pPr>
      <w:r>
        <w:rPr>
          <w:rFonts w:ascii="Times New Roman" w:hAnsi="Times New Roman" w:eastAsia="Times New Roman"/>
          <w:sz w:val="24"/>
        </w:rPr>
        <w:t xml:space="preserve">Characteristics of the 31 included primary studies are presented in Table 1. Publication years ranged from 2003 to 2025, with a marked acceleration in the COVID-19 era (2020–2022), during which approximately half of the eligible studies were conducted. Analytic sample sizes ranged from 47 (Elvers, 2003) to 1,625 (Wang et al., 2023), with a median </w:t>
      </w:r>
      <w:r>
        <w:rPr>
          <w:rFonts w:ascii="Times New Roman" w:hAnsi="Times New Roman" w:eastAsia="Times New Roman"/>
          <w:i/>
          <w:sz w:val="24"/>
        </w:rPr>
        <w:t>N</w:t>
      </w:r>
      <w:r>
        <w:rPr>
          <w:rFonts w:ascii="Times New Roman" w:hAnsi="Times New Roman" w:eastAsia="Times New Roman"/>
          <w:sz w:val="24"/>
        </w:rPr>
        <w:t xml:space="preserve"> of approximately 287. The 12 studies contributing direct Pearson correlations to the primary achievement pool aggregated a total sample of 3,384 participants.</w:t>
      </w:r>
    </w:p>
    <w:p>
      <w:pPr>
        <w:spacing w:line="480" w:lineRule="auto" w:before="0" w:after="0"/>
        <w:ind w:firstLine="720"/>
      </w:pPr>
      <w:r>
        <w:rPr>
          <w:rFonts w:ascii="Times New Roman" w:hAnsi="Times New Roman" w:eastAsia="Times New Roman"/>
          <w:sz w:val="24"/>
        </w:rPr>
        <w:t>The distribution of studies across learning modality was dominated by fully online modalities (27 of 31 studies), with the remainder classified as blended (A-02 has a blended subsample; reported as a separate effect size) or MOOC-specific (A-28 Yu, 2021). Within fully online, the asynchronous/synchronous distinction was explicitly reported for only 9 studies; these comprised 5 primarily asynchronous and 4 synchronous or mixed contexts. Education levels comprised K-12 (3 studies: A-10, A-25, A-26), undergraduate (22 studies), mixed undergraduate/graduate (5 studies), and graduate only (1 study: A-37 Zheng &amp; Zheng, 2023). Regional distribution, important for the pre-registered Asian-amplification moderator analysis, was as follows: Asia (13 studies; includes East Asian and Middle Eastern samples), Europe (8 studies), North America (5 studies), and Other (1 study: A-24 Tunisia). Era coding, for the era moderator, yielded 7 pre-COVID, 15 COVID-era, and 7 post-COVID or mixed-era studies; 2 studies spanned multiple eras.</w:t>
      </w:r>
    </w:p>
    <w:p>
      <w:pPr>
        <w:spacing w:line="480" w:lineRule="auto" w:before="0" w:after="0"/>
        <w:ind w:firstLine="720"/>
      </w:pPr>
      <w:r>
        <w:rPr>
          <w:rFonts w:ascii="Times New Roman" w:hAnsi="Times New Roman" w:eastAsia="Times New Roman"/>
          <w:sz w:val="24"/>
        </w:rPr>
        <w:t>Personality measurement instruments used across the included studies comprised the Big Five Inventory family (BFI-44, BFI-2, BFI-S; 14 studies), the NEO Personality Inventory family (NEO-FFI, NEO-PI-R; 3 studies), the International Personality Item Pool (IPIP, Mini-IPIP; 3 studies), the HEXACO Personality Inventory (1 study: A-19 MacLean, 2022), the Ten-Item Personality Inventory (TIPI, TIPI-J; 2 studies), and other validated Big Five–aligned scales (Sahinidis's 30-item Big Five, Chinese-language Big Five scales; 8 studies). Academic achievement outcomes were operationalized as GPA or course grade (6 studies), standardized exam or quiz score (2 studies), MOOC platform composite (1 study: A-28 Yu, 2021), self-rated performance (3 studies), or indirect proxies such as procrastination and engagement subscales (4 studies). Secondary outcomes—satisfaction, engagement, or preference—were the primary or only outcome in the remaining 15 studies and were not pooled into the primary achievement meta-analysis.</w:t>
      </w:r>
    </w:p>
    <w:p>
      <w:pPr>
        <w:pStyle w:val="Heading2"/>
        <w:spacing w:line="480" w:lineRule="auto" w:before="0" w:after="0"/>
      </w:pPr>
      <w:r>
        <w:t>Risk of Bias Across Included Studies</w:t>
      </w:r>
    </w:p>
    <w:p>
      <w:pPr>
        <w:spacing w:line="480" w:lineRule="auto" w:before="0" w:after="0"/>
        <w:ind w:firstLine="720"/>
      </w:pPr>
      <w:r>
        <w:rPr>
          <w:rFonts w:ascii="Times New Roman" w:hAnsi="Times New Roman" w:eastAsia="Times New Roman"/>
          <w:sz w:val="24"/>
        </w:rPr>
        <w:t>Risk-of-bias ratings using the Joanna Briggs Institute 8-item checklist are reported per study in Table S2 (Supplementary Material). The mean aggregate score across the 31 included studies was 5.6 (</w:t>
      </w:r>
      <w:r>
        <w:rPr>
          <w:rFonts w:ascii="Times New Roman" w:hAnsi="Times New Roman" w:eastAsia="Times New Roman"/>
          <w:i/>
          <w:sz w:val="24"/>
        </w:rPr>
        <w:t>SD</w:t>
      </w:r>
      <w:r>
        <w:rPr>
          <w:rFonts w:ascii="Times New Roman" w:hAnsi="Times New Roman" w:eastAsia="Times New Roman"/>
          <w:sz w:val="24"/>
        </w:rPr>
        <w:t xml:space="preserve"> = 1.1, range = 4–8). Twenty-four studies scored at or above the pre-specified low-bias threshold of 5, while seven scored below and were flagged for sensitivity analysis. Domain-level weaknesses were most common in Item 5 (identification of confounding factors) and Item 6 (strategies to deal with confounding factors), consistent with the cross-sectional and convenience-sampling nature of most included studies. Higher-quality studies typically reported pre-registered analysis plans (A-23 Rodrigues et al., 2024) or objective LMS-log outcome measurement (A-28 Yu, 2021; A-31 Rivers, 2021). Intra-rater reliability for risk-of-bias assessment, estimated on a 20% subsample, met the pre-specified threshold of κ ≥ 0.80.</w:t>
      </w:r>
    </w:p>
    <w:p>
      <w:pPr>
        <w:pStyle w:val="Heading2"/>
        <w:spacing w:line="480" w:lineRule="auto" w:before="0" w:after="0"/>
      </w:pPr>
      <w:r>
        <w:t>Primary Pooled Effect Sizes</w:t>
      </w:r>
    </w:p>
    <w:p>
      <w:pPr>
        <w:spacing w:line="480" w:lineRule="auto" w:before="0" w:after="0"/>
        <w:ind w:firstLine="720"/>
      </w:pPr>
      <w:r>
        <w:rPr>
          <w:rFonts w:ascii="Times New Roman" w:hAnsi="Times New Roman" w:eastAsia="Times New Roman"/>
          <w:sz w:val="24"/>
        </w:rPr>
        <w:t>Random-effects meta-analyses with REML estimation and Hartung-Knapp-Sidik-Jonkman confidence-interval adjustment were conducted separately for each Big Five trait. Pooled effect sizes, 95% confidence intervals, 95% prediction intervals, and heterogeneity statistics are summarized in Table 2. Forest plots for each trait are presented in Figures 2 through 6.</w:t>
      </w:r>
    </w:p>
    <w:p>
      <w:pPr>
        <w:spacing w:line="480" w:lineRule="auto" w:before="0" w:after="0"/>
        <w:ind w:firstLine="720"/>
      </w:pPr>
      <w:r>
        <w:rPr>
          <w:rFonts w:ascii="Times New Roman" w:hAnsi="Times New Roman" w:eastAsia="Times New Roman"/>
          <w:sz w:val="24"/>
        </w:rPr>
        <w:t xml:space="preserve">Conscientiousness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10 studies (total </w:t>
      </w:r>
      <w:r>
        <w:rPr>
          <w:rFonts w:ascii="Times New Roman" w:hAnsi="Times New Roman" w:eastAsia="Times New Roman"/>
          <w:i/>
          <w:sz w:val="24"/>
        </w:rPr>
        <w:t>N</w:t>
      </w:r>
      <w:r>
        <w:rPr>
          <w:rFonts w:ascii="Times New Roman" w:hAnsi="Times New Roman" w:eastAsia="Times New Roman"/>
          <w:sz w:val="24"/>
        </w:rPr>
        <w:t xml:space="preserve"> = 3,384), the pooled correlation between Conscientiousness and academic achievement in online learning environments was </w:t>
      </w:r>
      <w:r>
        <w:rPr>
          <w:rFonts w:ascii="Times New Roman" w:hAnsi="Times New Roman" w:eastAsia="Times New Roman"/>
          <w:i/>
          <w:sz w:val="24"/>
        </w:rPr>
        <w:t>r</w:t>
      </w:r>
      <w:r>
        <w:rPr>
          <w:rFonts w:ascii="Times New Roman" w:hAnsi="Times New Roman" w:eastAsia="Times New Roman"/>
          <w:sz w:val="24"/>
        </w:rPr>
        <w:t xml:space="preserve"> = .167 (95% CI [.089, .243], 95% PI [−.020, .343]), partially supporting Hypothesis 1 (H1: expected </w:t>
      </w:r>
      <w:r>
        <w:rPr>
          <w:rFonts w:ascii="Times New Roman" w:hAnsi="Times New Roman" w:eastAsia="Times New Roman"/>
          <w:i/>
          <w:sz w:val="24"/>
        </w:rPr>
        <w:t>ρ</w:t>
      </w:r>
      <w:r>
        <w:rPr>
          <w:rFonts w:ascii="Times New Roman" w:hAnsi="Times New Roman" w:eastAsia="Times New Roman"/>
          <w:sz w:val="24"/>
        </w:rPr>
        <w:t xml:space="preserve"> = .20–.35). The point estimate was the largest of the five Big Five traits in the present synthesis, confirming the ordinal prediction of H1, but its magnitude was somewhat below the face-to-face benchmark range of </w:t>
      </w:r>
      <w:r>
        <w:rPr>
          <w:rFonts w:ascii="Times New Roman" w:hAnsi="Times New Roman" w:eastAsia="Times New Roman"/>
          <w:i/>
          <w:sz w:val="24"/>
        </w:rPr>
        <w:t>ρ</w:t>
      </w:r>
      <w:r>
        <w:rPr>
          <w:rFonts w:ascii="Times New Roman" w:hAnsi="Times New Roman" w:eastAsia="Times New Roman"/>
          <w:sz w:val="24"/>
        </w:rPr>
        <w:t xml:space="preserve"> = .19–.28 reported by Poropat (2009), McAbee and Oswald (2013), Vedel (2014), Mammadov (2022), Meyer et al. (2023), and Chen et al. (2025). Heterogeneity was moderate (Q(9) = 25.79, </w:t>
      </w:r>
      <w:r>
        <w:rPr>
          <w:rFonts w:ascii="Times New Roman" w:hAnsi="Times New Roman" w:eastAsia="Times New Roman"/>
          <w:i/>
          <w:sz w:val="24"/>
        </w:rPr>
        <w:t>p</w:t>
      </w:r>
      <w:r>
        <w:rPr>
          <w:rFonts w:ascii="Times New Roman" w:hAnsi="Times New Roman" w:eastAsia="Times New Roman"/>
          <w:sz w:val="24"/>
        </w:rPr>
        <w:t xml:space="preserve"> = .002; </w:t>
      </w:r>
      <w:r>
        <w:rPr>
          <w:rFonts w:ascii="Times New Roman" w:hAnsi="Times New Roman" w:eastAsia="Times New Roman"/>
          <w:i/>
          <w:sz w:val="24"/>
        </w:rPr>
        <w:t>I²</w:t>
      </w:r>
      <w:r>
        <w:rPr>
          <w:rFonts w:ascii="Times New Roman" w:hAnsi="Times New Roman" w:eastAsia="Times New Roman"/>
          <w:sz w:val="24"/>
        </w:rPr>
        <w:t xml:space="preserve"> = 65.1%; </w:t>
      </w:r>
      <w:r>
        <w:rPr>
          <w:rFonts w:ascii="Times New Roman" w:hAnsi="Times New Roman" w:eastAsia="Times New Roman"/>
          <w:i/>
          <w:sz w:val="24"/>
        </w:rPr>
        <w:t>τ²</w:t>
      </w:r>
      <w:r>
        <w:rPr>
          <w:rFonts w:ascii="Times New Roman" w:hAnsi="Times New Roman" w:eastAsia="Times New Roman"/>
          <w:sz w:val="24"/>
        </w:rPr>
        <w:t xml:space="preserve"> = .006; </w:t>
      </w:r>
      <w:r>
        <w:rPr>
          <w:rFonts w:ascii="Times New Roman" w:hAnsi="Times New Roman" w:eastAsia="Times New Roman"/>
          <w:i/>
          <w:sz w:val="24"/>
        </w:rPr>
        <w:t>τ</w:t>
      </w:r>
      <w:r>
        <w:rPr>
          <w:rFonts w:ascii="Times New Roman" w:hAnsi="Times New Roman" w:eastAsia="Times New Roman"/>
          <w:sz w:val="24"/>
        </w:rPr>
        <w:t xml:space="preserve"> = .076).</w:t>
      </w:r>
    </w:p>
    <w:p>
      <w:pPr>
        <w:spacing w:line="480" w:lineRule="auto" w:before="0" w:after="0"/>
        <w:ind w:firstLine="720"/>
      </w:pPr>
      <w:r>
        <w:rPr>
          <w:rFonts w:ascii="Times New Roman" w:hAnsi="Times New Roman" w:eastAsia="Times New Roman"/>
          <w:sz w:val="24"/>
        </w:rPr>
        <w:t xml:space="preserve">Openness to Experience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.086 (95% CI [−.044, .214], 95% PI [−.273, .425]). This estimate was comparable to the face-to-face benchmark from Mammadov (2022; </w:t>
      </w:r>
      <w:r>
        <w:rPr>
          <w:rFonts w:ascii="Times New Roman" w:hAnsi="Times New Roman" w:eastAsia="Times New Roman"/>
          <w:i/>
          <w:sz w:val="24"/>
        </w:rPr>
        <w:t>ρ</w:t>
      </w:r>
      <w:r>
        <w:rPr>
          <w:rFonts w:ascii="Times New Roman" w:hAnsi="Times New Roman" w:eastAsia="Times New Roman"/>
          <w:sz w:val="24"/>
        </w:rPr>
        <w:t xml:space="preserve"> = .16) and smaller than the K-12 estimate of Meyer et al. (2023; </w:t>
      </w:r>
      <w:r>
        <w:rPr>
          <w:rFonts w:ascii="Times New Roman" w:hAnsi="Times New Roman" w:eastAsia="Times New Roman"/>
          <w:i/>
          <w:sz w:val="24"/>
        </w:rPr>
        <w:t>ρ</w:t>
      </w:r>
      <w:r>
        <w:rPr>
          <w:rFonts w:ascii="Times New Roman" w:hAnsi="Times New Roman" w:eastAsia="Times New Roman"/>
          <w:sz w:val="24"/>
        </w:rPr>
        <w:t xml:space="preserve"> = .21), and the 95% confidence interval crossed zero. Hypothesis 2 (H2), which predicted a stronger Openness effect in online than in face-to-face contexts, was therefore not supported by the present primary analysis. Heterogeneity was very high (Q(8) = 100.17,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92.0%; </w:t>
      </w:r>
      <w:r>
        <w:rPr>
          <w:rFonts w:ascii="Times New Roman" w:hAnsi="Times New Roman" w:eastAsia="Times New Roman"/>
          <w:i/>
          <w:sz w:val="24"/>
        </w:rPr>
        <w:t>τ²</w:t>
      </w:r>
      <w:r>
        <w:rPr>
          <w:rFonts w:ascii="Times New Roman" w:hAnsi="Times New Roman" w:eastAsia="Times New Roman"/>
          <w:sz w:val="24"/>
        </w:rPr>
        <w:t xml:space="preserve"> = .021), consistent with the wide dispersion of reported Openness effects across primary studies (e.g., </w:t>
      </w:r>
      <w:r>
        <w:rPr>
          <w:rFonts w:ascii="Times New Roman" w:hAnsi="Times New Roman" w:eastAsia="Times New Roman"/>
          <w:i/>
          <w:sz w:val="24"/>
        </w:rPr>
        <w:t>r</w:t>
      </w:r>
      <w:r>
        <w:rPr>
          <w:rFonts w:ascii="Times New Roman" w:hAnsi="Times New Roman" w:eastAsia="Times New Roman"/>
          <w:sz w:val="24"/>
        </w:rPr>
        <w:t xml:space="preserve"> = .35 for Abe's essay outcome; </w:t>
      </w:r>
      <w:r>
        <w:rPr>
          <w:rFonts w:ascii="Times New Roman" w:hAnsi="Times New Roman" w:eastAsia="Times New Roman"/>
          <w:i/>
          <w:sz w:val="24"/>
        </w:rPr>
        <w:t>r</w:t>
      </w:r>
      <w:r>
        <w:rPr>
          <w:rFonts w:ascii="Times New Roman" w:hAnsi="Times New Roman" w:eastAsia="Times New Roman"/>
          <w:sz w:val="24"/>
        </w:rPr>
        <w:t xml:space="preserve"> = .305 for Yu's MOOC composite vs. </w:t>
      </w:r>
      <w:r>
        <w:rPr>
          <w:rFonts w:ascii="Times New Roman" w:hAnsi="Times New Roman" w:eastAsia="Times New Roman"/>
          <w:i/>
          <w:sz w:val="24"/>
        </w:rPr>
        <w:t>r</w:t>
      </w:r>
      <w:r>
        <w:rPr>
          <w:rFonts w:ascii="Times New Roman" w:hAnsi="Times New Roman" w:eastAsia="Times New Roman"/>
          <w:sz w:val="24"/>
        </w:rPr>
        <w:t xml:space="preserve"> = −.066 for Rivers's asynchronous Moodle outcome).</w:t>
      </w:r>
    </w:p>
    <w:p>
      <w:pPr>
        <w:spacing w:line="480" w:lineRule="auto" w:before="0" w:after="0"/>
        <w:ind w:firstLine="720"/>
      </w:pPr>
      <w:r>
        <w:rPr>
          <w:rFonts w:ascii="Times New Roman" w:hAnsi="Times New Roman" w:eastAsia="Times New Roman"/>
          <w:sz w:val="24"/>
        </w:rPr>
        <w:t xml:space="preserve">Extraversion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.002 (95% CI [−.076, .080]). This null estimate supports Hypothesis 5 (H5), which predicted a null or weak negative Extraversion–achievement association in online environments. Notably, the direct negative effect reported by Rivers (2021; </w:t>
      </w:r>
      <w:r>
        <w:rPr>
          <w:rFonts w:ascii="Times New Roman" w:hAnsi="Times New Roman" w:eastAsia="Times New Roman"/>
          <w:i/>
          <w:sz w:val="24"/>
        </w:rPr>
        <w:t>β</w:t>
      </w:r>
      <w:r>
        <w:rPr>
          <w:rFonts w:ascii="Times New Roman" w:hAnsi="Times New Roman" w:eastAsia="Times New Roman"/>
          <w:sz w:val="24"/>
        </w:rPr>
        <w:t xml:space="preserve"> = −.168) and the MOOC finding of Yu (2021; standardized </w:t>
      </w:r>
      <w:r>
        <w:rPr>
          <w:rFonts w:ascii="Times New Roman" w:hAnsi="Times New Roman" w:eastAsia="Times New Roman"/>
          <w:i/>
          <w:sz w:val="24"/>
        </w:rPr>
        <w:t>β</w:t>
      </w:r>
      <w:r>
        <w:rPr>
          <w:rFonts w:ascii="Times New Roman" w:hAnsi="Times New Roman" w:eastAsia="Times New Roman"/>
          <w:sz w:val="24"/>
        </w:rPr>
        <w:t xml:space="preserve"> = −.076) contributed to pulling the pooled estimate toward zero from the otherwise mixed face-to-face pattern. Heterogeneity was moderate-to-high (Q(8) = 32.66,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75.5%; </w:t>
      </w:r>
      <w:r>
        <w:rPr>
          <w:rFonts w:ascii="Times New Roman" w:hAnsi="Times New Roman" w:eastAsia="Times New Roman"/>
          <w:i/>
          <w:sz w:val="24"/>
        </w:rPr>
        <w:t>τ²</w:t>
      </w:r>
      <w:r>
        <w:rPr>
          <w:rFonts w:ascii="Times New Roman" w:hAnsi="Times New Roman" w:eastAsia="Times New Roman"/>
          <w:sz w:val="24"/>
        </w:rPr>
        <w:t xml:space="preserve"> = .006), suggesting that the overall null effect masks systematic moderator-driven variation, an expectation explored below.</w:t>
      </w:r>
    </w:p>
    <w:p>
      <w:pPr>
        <w:spacing w:line="480" w:lineRule="auto" w:before="0" w:after="0"/>
        <w:ind w:firstLine="720"/>
      </w:pPr>
      <w:r>
        <w:rPr>
          <w:rFonts w:ascii="Times New Roman" w:hAnsi="Times New Roman" w:eastAsia="Times New Roman"/>
          <w:sz w:val="24"/>
        </w:rPr>
        <w:t xml:space="preserve">Agreeableness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.112 (95% CI [−.031, .250]). This estimate was slightly larger than the face-to-face benchmark of </w:t>
      </w:r>
      <w:r>
        <w:rPr>
          <w:rFonts w:ascii="Times New Roman" w:hAnsi="Times New Roman" w:eastAsia="Times New Roman"/>
          <w:i/>
          <w:sz w:val="24"/>
        </w:rPr>
        <w:t>ρ</w:t>
      </w:r>
      <w:r>
        <w:rPr>
          <w:rFonts w:ascii="Times New Roman" w:hAnsi="Times New Roman" w:eastAsia="Times New Roman"/>
          <w:sz w:val="24"/>
        </w:rPr>
        <w:t xml:space="preserve"> = .05–.10 (Poropat, 2009; Vedel, 2014; Chen et al., 2025), contrary to Hypothesis 3 (H3), which predicted a weaker Agreeableness effect in online than in face-to-face contexts. Chinese samples in the primary corpus (Yu, 2021; Wang et al., 2023) showed amplified Agreeableness effects (converted </w:t>
      </w:r>
      <w:r>
        <w:rPr>
          <w:rFonts w:ascii="Times New Roman" w:hAnsi="Times New Roman" w:eastAsia="Times New Roman"/>
          <w:i/>
          <w:sz w:val="24"/>
        </w:rPr>
        <w:t>β</w:t>
      </w:r>
      <w:r>
        <w:rPr>
          <w:rFonts w:ascii="Times New Roman" w:hAnsi="Times New Roman" w:eastAsia="Times New Roman"/>
          <w:sz w:val="24"/>
        </w:rPr>
        <w:t xml:space="preserve"> = .442 and </w:t>
      </w:r>
      <w:r>
        <w:rPr>
          <w:rFonts w:ascii="Times New Roman" w:hAnsi="Times New Roman" w:eastAsia="Times New Roman"/>
          <w:i/>
          <w:sz w:val="24"/>
        </w:rPr>
        <w:t>β</w:t>
      </w:r>
      <w:r>
        <w:rPr>
          <w:rFonts w:ascii="Times New Roman" w:hAnsi="Times New Roman" w:eastAsia="Times New Roman"/>
          <w:sz w:val="24"/>
        </w:rPr>
        <w:t xml:space="preserve"> = .112, respectively), contributing to the higher pooled estimate; this is explored in the region moderator analysis. Heterogeneity was extremely high (Q(8) = 208.49,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96.2%; </w:t>
      </w:r>
      <w:r>
        <w:rPr>
          <w:rFonts w:ascii="Times New Roman" w:hAnsi="Times New Roman" w:eastAsia="Times New Roman"/>
          <w:i/>
          <w:sz w:val="24"/>
        </w:rPr>
        <w:t>τ²</w:t>
      </w:r>
      <w:r>
        <w:rPr>
          <w:rFonts w:ascii="Times New Roman" w:hAnsi="Times New Roman" w:eastAsia="Times New Roman"/>
          <w:sz w:val="24"/>
        </w:rPr>
        <w:t xml:space="preserve"> = .030).</w:t>
      </w:r>
    </w:p>
    <w:p>
      <w:pPr>
        <w:spacing w:line="480" w:lineRule="auto" w:before="0" w:after="0"/>
        <w:ind w:firstLine="720"/>
      </w:pPr>
      <w:r>
        <w:rPr>
          <w:rFonts w:ascii="Times New Roman" w:hAnsi="Times New Roman" w:eastAsia="Times New Roman"/>
          <w:sz w:val="24"/>
        </w:rPr>
        <w:t xml:space="preserve">Neuroticism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10 studies (total </w:t>
      </w:r>
      <w:r>
        <w:rPr>
          <w:rFonts w:ascii="Times New Roman" w:hAnsi="Times New Roman" w:eastAsia="Times New Roman"/>
          <w:i/>
          <w:sz w:val="24"/>
        </w:rPr>
        <w:t>N</w:t>
      </w:r>
      <w:r>
        <w:rPr>
          <w:rFonts w:ascii="Times New Roman" w:hAnsi="Times New Roman" w:eastAsia="Times New Roman"/>
          <w:sz w:val="24"/>
        </w:rPr>
        <w:t xml:space="preserve"> = 3,384), the pooled correlation was </w:t>
      </w:r>
      <w:r>
        <w:rPr>
          <w:rFonts w:ascii="Times New Roman" w:hAnsi="Times New Roman" w:eastAsia="Times New Roman"/>
          <w:i/>
          <w:sz w:val="24"/>
        </w:rPr>
        <w:t>r</w:t>
      </w:r>
      <w:r>
        <w:rPr>
          <w:rFonts w:ascii="Times New Roman" w:hAnsi="Times New Roman" w:eastAsia="Times New Roman"/>
          <w:sz w:val="24"/>
        </w:rPr>
        <w:t xml:space="preserve"> = .018 (95% CI [−.079, .114]). The direction was null and the magnitude was substantially weaker than the prediction of Hypothesis 4 (H4), which expected a negative effect more pronounced in fully online than in blended modalities; H4 was not supported in the primary analysis. Heterogeneity was moderate-to-high (Q(9) = 42.76,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79.0%; </w:t>
      </w:r>
      <w:r>
        <w:rPr>
          <w:rFonts w:ascii="Times New Roman" w:hAnsi="Times New Roman" w:eastAsia="Times New Roman"/>
          <w:i/>
          <w:sz w:val="24"/>
        </w:rPr>
        <w:t>τ²</w:t>
      </w:r>
      <w:r>
        <w:rPr>
          <w:rFonts w:ascii="Times New Roman" w:hAnsi="Times New Roman" w:eastAsia="Times New Roman"/>
          <w:sz w:val="24"/>
        </w:rPr>
        <w:t xml:space="preserve"> = .010). Primary-study signs were mixed: Rodrigues et al. (2024) and Baruth and Cohen (2022/2023) reported negative associations with satisfaction or well-being, whereas Yu (2021) reported a weakly positive association, and the β-excluded sensitivity analysis (see below) reduced the pooled </w:t>
      </w:r>
      <w:r>
        <w:rPr>
          <w:rFonts w:ascii="Times New Roman" w:hAnsi="Times New Roman" w:eastAsia="Times New Roman"/>
          <w:i/>
          <w:sz w:val="24"/>
        </w:rPr>
        <w:t>N</w:t>
      </w:r>
      <w:r>
        <w:rPr>
          <w:rFonts w:ascii="Times New Roman" w:hAnsi="Times New Roman" w:eastAsia="Times New Roman"/>
          <w:sz w:val="24"/>
        </w:rPr>
        <w:t xml:space="preserve"> estimate to </w:t>
      </w:r>
      <w:r>
        <w:rPr>
          <w:rFonts w:ascii="Times New Roman" w:hAnsi="Times New Roman" w:eastAsia="Times New Roman"/>
          <w:i/>
          <w:sz w:val="24"/>
        </w:rPr>
        <w:t>r</w:t>
      </w:r>
      <w:r>
        <w:rPr>
          <w:rFonts w:ascii="Times New Roman" w:hAnsi="Times New Roman" w:eastAsia="Times New Roman"/>
          <w:sz w:val="24"/>
        </w:rPr>
        <w:t xml:space="preserve"> = −.043, partially consistent with H4 under β-free conditions.</w:t>
      </w:r>
    </w:p>
    <w:p>
      <w:pPr>
        <w:pStyle w:val="Heading2"/>
        <w:spacing w:line="480" w:lineRule="auto" w:before="0" w:after="0"/>
      </w:pPr>
      <w:r>
        <w:t>Between-Study Heterogeneity</w:t>
      </w:r>
    </w:p>
    <w:p>
      <w:pPr>
        <w:spacing w:line="480" w:lineRule="auto" w:before="0" w:after="0"/>
        <w:ind w:firstLine="720"/>
      </w:pPr>
      <w:r>
        <w:rPr>
          <w:rFonts w:ascii="Times New Roman" w:hAnsi="Times New Roman" w:eastAsia="Times New Roman"/>
          <w:sz w:val="24"/>
        </w:rPr>
        <w:t xml:space="preserve">Substantial between-study heterogeneity was observed across all five trait pools, with </w:t>
      </w:r>
      <w:r>
        <w:rPr>
          <w:rFonts w:ascii="Times New Roman" w:hAnsi="Times New Roman" w:eastAsia="Times New Roman"/>
          <w:i/>
          <w:sz w:val="24"/>
        </w:rPr>
        <w:t>I²</w:t>
      </w:r>
      <w:r>
        <w:rPr>
          <w:rFonts w:ascii="Times New Roman" w:hAnsi="Times New Roman" w:eastAsia="Times New Roman"/>
          <w:sz w:val="24"/>
        </w:rPr>
        <w:t xml:space="preserve"> values ranging from 65.1% (Conscientiousness) to 96.2% (Agreeableness). The consistently high </w:t>
      </w:r>
      <w:r>
        <w:rPr>
          <w:rFonts w:ascii="Times New Roman" w:hAnsi="Times New Roman" w:eastAsia="Times New Roman"/>
          <w:i/>
          <w:sz w:val="24"/>
        </w:rPr>
        <w:t>I²</w:t>
      </w:r>
      <w:r>
        <w:rPr>
          <w:rFonts w:ascii="Times New Roman" w:hAnsi="Times New Roman" w:eastAsia="Times New Roman"/>
          <w:sz w:val="24"/>
        </w:rPr>
        <w:t xml:space="preserve"> estimates—typical for psychological meta-analyses of personality-achievement associations (Mammadov, 2022; Meyer et al., 2023)—indicate that a single fixed population effect is implausible and that exploration of moderators is warranted. The 95% prediction intervals included zero for all five traits and extended to substantially different magnitudes at both tails (for Agreeableness, the PI spanned [−.310, .496]), suggesting that the true population effect in a new study drawn from this literature could plausibly vary substantially in magnitude and in some cases in direction. These patterns motivate the moderator analyses reported next.</w:t>
      </w:r>
    </w:p>
    <w:p>
      <w:pPr>
        <w:pStyle w:val="Heading2"/>
        <w:spacing w:line="480" w:lineRule="auto" w:before="0" w:after="0"/>
      </w:pPr>
      <w:r>
        <w:t>Moderator Analyses</w:t>
      </w:r>
    </w:p>
    <w:p>
      <w:pPr>
        <w:spacing w:line="480" w:lineRule="auto" w:before="0" w:after="0"/>
        <w:ind w:firstLine="720"/>
      </w:pPr>
      <w:r>
        <w:rPr>
          <w:rFonts w:ascii="Times New Roman" w:hAnsi="Times New Roman" w:eastAsia="Times New Roman"/>
          <w:sz w:val="24"/>
        </w:rPr>
        <w:t xml:space="preserve">Three pre-registered moderators met the minimum k-per-level requirement of the present synthesis and were analyzed quantitatively via subgroup random-effects meta-analyses: region (Asia vs. non-Asia), era (pre-COVID vs. COVID-era), and outcome type (objective vs. self-reported achievement). The remaining six pre-registered moderators (personality instrument, publication year, log-sample size, risk-of-bias score, modality, education level) did not meet the </w:t>
      </w:r>
      <w:r>
        <w:rPr>
          <w:rFonts w:ascii="Times New Roman" w:hAnsi="Times New Roman" w:eastAsia="Times New Roman"/>
          <w:i/>
          <w:sz w:val="24"/>
        </w:rPr>
        <w:t>k</w:t>
      </w:r>
      <w:r>
        <w:rPr>
          <w:rFonts w:ascii="Times New Roman" w:hAnsi="Times New Roman" w:eastAsia="Times New Roman"/>
          <w:sz w:val="24"/>
        </w:rPr>
        <w:t xml:space="preserve"> ≥ 10 per predictor level requirement, and are reported narratively below and in the Methods Deviations subsection. Full moderator results are presented in Table 3.</w:t>
      </w:r>
    </w:p>
    <w:p>
      <w:pPr>
        <w:spacing w:line="480" w:lineRule="auto" w:before="0" w:after="0"/>
        <w:ind w:firstLine="720"/>
      </w:pPr>
      <w:r>
        <w:rPr>
          <w:rFonts w:ascii="Times New Roman" w:hAnsi="Times New Roman" w:eastAsia="Times New Roman"/>
          <w:sz w:val="24"/>
        </w:rPr>
        <w:t xml:space="preserve">Region. The Asian-sample pattern reported by Mammadov (2022) and Chen et al. (2025) was evaluated with </w:t>
      </w:r>
      <w:r>
        <w:rPr>
          <w:rFonts w:ascii="Times New Roman" w:hAnsi="Times New Roman" w:eastAsia="Times New Roman"/>
          <w:i/>
          <w:sz w:val="24"/>
        </w:rPr>
        <w:t>k</w:t>
      </w:r>
      <w:r>
        <w:rPr>
          <w:rFonts w:ascii="Times New Roman" w:hAnsi="Times New Roman" w:eastAsia="Times New Roman"/>
          <w:sz w:val="24"/>
        </w:rPr>
        <w:t xml:space="preserve"> = 2 Asian studies against </w:t>
      </w:r>
      <w:r>
        <w:rPr>
          <w:rFonts w:ascii="Times New Roman" w:hAnsi="Times New Roman" w:eastAsia="Times New Roman"/>
          <w:i/>
          <w:sz w:val="24"/>
        </w:rPr>
        <w:t>k</w:t>
      </w:r>
      <w:r>
        <w:rPr>
          <w:rFonts w:ascii="Times New Roman" w:hAnsi="Times New Roman" w:eastAsia="Times New Roman"/>
          <w:sz w:val="24"/>
        </w:rPr>
        <w:t xml:space="preserve"> = 7–8 non-Asian studies per trait. A highly significant region effect emerged for Extraversion: in the Asian subgroup the pooled correlation was </w:t>
      </w:r>
      <w:r>
        <w:rPr>
          <w:rFonts w:ascii="Times New Roman" w:hAnsi="Times New Roman" w:eastAsia="Times New Roman"/>
          <w:i/>
          <w:sz w:val="24"/>
        </w:rPr>
        <w:t>r</w:t>
      </w:r>
      <w:r>
        <w:rPr>
          <w:rFonts w:ascii="Times New Roman" w:hAnsi="Times New Roman" w:eastAsia="Times New Roman"/>
          <w:sz w:val="24"/>
        </w:rPr>
        <w:t xml:space="preserve"> = −.131 (95% CI [−.314, .061]), whereas in the non-Asian subgroup it was </w:t>
      </w:r>
      <w:r>
        <w:rPr>
          <w:rFonts w:ascii="Times New Roman" w:hAnsi="Times New Roman" w:eastAsia="Times New Roman"/>
          <w:i/>
          <w:sz w:val="24"/>
        </w:rPr>
        <w:t>r</w:t>
      </w:r>
      <w:r>
        <w:rPr>
          <w:rFonts w:ascii="Times New Roman" w:hAnsi="Times New Roman" w:eastAsia="Times New Roman"/>
          <w:sz w:val="24"/>
        </w:rPr>
        <w:t xml:space="preserve"> = .050 (95% CI [−.004, .104]); Q_between(1) = 46.43, </w:t>
      </w:r>
      <w:r>
        <w:rPr>
          <w:rFonts w:ascii="Times New Roman" w:hAnsi="Times New Roman" w:eastAsia="Times New Roman"/>
          <w:i/>
          <w:sz w:val="24"/>
        </w:rPr>
        <w:t>p</w:t>
      </w:r>
      <w:r>
        <w:rPr>
          <w:rFonts w:ascii="Times New Roman" w:hAnsi="Times New Roman" w:eastAsia="Times New Roman"/>
          <w:sz w:val="24"/>
        </w:rPr>
        <w:t xml:space="preserve"> &lt; .001. This pattern is consistent with Chen et al.'s (2025) finding that Extraversion shows significantly negative effects in collectivistic and culturally sensitive contexts. Trends in the same direction, not reaching significance, were observed for Neuroticism (Asia </w:t>
      </w:r>
      <w:r>
        <w:rPr>
          <w:rFonts w:ascii="Times New Roman" w:hAnsi="Times New Roman" w:eastAsia="Times New Roman"/>
          <w:i/>
          <w:sz w:val="24"/>
        </w:rPr>
        <w:t>r</w:t>
      </w:r>
      <w:r>
        <w:rPr>
          <w:rFonts w:ascii="Times New Roman" w:hAnsi="Times New Roman" w:eastAsia="Times New Roman"/>
          <w:sz w:val="24"/>
        </w:rPr>
        <w:t xml:space="preserve"> = .089 vs. non-Asia </w:t>
      </w:r>
      <w:r>
        <w:rPr>
          <w:rFonts w:ascii="Times New Roman" w:hAnsi="Times New Roman" w:eastAsia="Times New Roman"/>
          <w:i/>
          <w:sz w:val="24"/>
        </w:rPr>
        <w:t>r</w:t>
      </w:r>
      <w:r>
        <w:rPr>
          <w:rFonts w:ascii="Times New Roman" w:hAnsi="Times New Roman" w:eastAsia="Times New Roman"/>
          <w:sz w:val="24"/>
        </w:rPr>
        <w:t xml:space="preserve"> = −.007; Q_between(1) = 3.31, </w:t>
      </w:r>
      <w:r>
        <w:rPr>
          <w:rFonts w:ascii="Times New Roman" w:hAnsi="Times New Roman" w:eastAsia="Times New Roman"/>
          <w:i/>
          <w:sz w:val="24"/>
        </w:rPr>
        <w:t>p</w:t>
      </w:r>
      <w:r>
        <w:rPr>
          <w:rFonts w:ascii="Times New Roman" w:hAnsi="Times New Roman" w:eastAsia="Times New Roman"/>
          <w:sz w:val="24"/>
        </w:rPr>
        <w:t xml:space="preserve"> = .069) and for Agreeableness (Asia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Q_between(1) = 2.17, </w:t>
      </w:r>
      <w:r>
        <w:rPr>
          <w:rFonts w:ascii="Times New Roman" w:hAnsi="Times New Roman" w:eastAsia="Times New Roman"/>
          <w:i/>
          <w:sz w:val="24"/>
        </w:rPr>
        <w:t>p</w:t>
      </w:r>
      <w:r>
        <w:rPr>
          <w:rFonts w:ascii="Times New Roman" w:hAnsi="Times New Roman" w:eastAsia="Times New Roman"/>
          <w:sz w:val="24"/>
        </w:rPr>
        <w:t xml:space="preserve"> = .140). Counterintuitively, the Conscientiousness effect was slightly weaker in the Asian subgroup (</w:t>
      </w:r>
      <w:r>
        <w:rPr>
          <w:rFonts w:ascii="Times New Roman" w:hAnsi="Times New Roman" w:eastAsia="Times New Roman"/>
          <w:i/>
          <w:sz w:val="24"/>
        </w:rPr>
        <w:t>r</w:t>
      </w:r>
      <w:r>
        <w:rPr>
          <w:rFonts w:ascii="Times New Roman" w:hAnsi="Times New Roman" w:eastAsia="Times New Roman"/>
          <w:sz w:val="24"/>
        </w:rPr>
        <w:t xml:space="preserve"> = .111) than in the non-Asian subgroup (</w:t>
      </w:r>
      <w:r>
        <w:rPr>
          <w:rFonts w:ascii="Times New Roman" w:hAnsi="Times New Roman" w:eastAsia="Times New Roman"/>
          <w:i/>
          <w:sz w:val="24"/>
        </w:rPr>
        <w:t>r</w:t>
      </w:r>
      <w:r>
        <w:rPr>
          <w:rFonts w:ascii="Times New Roman" w:hAnsi="Times New Roman" w:eastAsia="Times New Roman"/>
          <w:sz w:val="24"/>
        </w:rPr>
        <w:t xml:space="preserve"> = .185); Q_between(1) = 2.68, </w:t>
      </w:r>
      <w:r>
        <w:rPr>
          <w:rFonts w:ascii="Times New Roman" w:hAnsi="Times New Roman" w:eastAsia="Times New Roman"/>
          <w:i/>
          <w:sz w:val="24"/>
        </w:rPr>
        <w:t>p</w:t>
      </w:r>
      <w:r>
        <w:rPr>
          <w:rFonts w:ascii="Times New Roman" w:hAnsi="Times New Roman" w:eastAsia="Times New Roman"/>
          <w:sz w:val="24"/>
        </w:rPr>
        <w:t xml:space="preserve"> = .102. The </w:t>
      </w:r>
      <w:r>
        <w:rPr>
          <w:rFonts w:ascii="Times New Roman" w:hAnsi="Times New Roman" w:eastAsia="Times New Roman"/>
          <w:i/>
          <w:sz w:val="24"/>
        </w:rPr>
        <w:t>k</w:t>
      </w:r>
      <w:r>
        <w:rPr>
          <w:rFonts w:ascii="Times New Roman" w:hAnsi="Times New Roman" w:eastAsia="Times New Roman"/>
          <w:sz w:val="24"/>
        </w:rPr>
        <w:t xml:space="preserve"> = 2 Asian subsample limits power, and replication is required.</w:t>
      </w:r>
    </w:p>
    <w:p>
      <w:pPr>
        <w:spacing w:line="480" w:lineRule="auto" w:before="0" w:after="0"/>
        <w:ind w:firstLine="720"/>
      </w:pPr>
      <w:r>
        <w:rPr>
          <w:rFonts w:ascii="Times New Roman" w:hAnsi="Times New Roman" w:eastAsia="Times New Roman"/>
          <w:sz w:val="24"/>
        </w:rPr>
        <w:t xml:space="preserve">Era. The pre-COVID vs. COVID-era contrast yielded no significant moderation for any trait (all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&gt; .15). Notably, Conscientiousness effects were comparable across eras (pre-COVID </w:t>
      </w:r>
      <w:r>
        <w:rPr>
          <w:rFonts w:ascii="Times New Roman" w:hAnsi="Times New Roman" w:eastAsia="Times New Roman"/>
          <w:i/>
          <w:sz w:val="24"/>
        </w:rPr>
        <w:t>r</w:t>
      </w:r>
      <w:r>
        <w:rPr>
          <w:rFonts w:ascii="Times New Roman" w:hAnsi="Times New Roman" w:eastAsia="Times New Roman"/>
          <w:sz w:val="24"/>
        </w:rPr>
        <w:t xml:space="preserve"> = .208 vs. COVID </w:t>
      </w:r>
      <w:r>
        <w:rPr>
          <w:rFonts w:ascii="Times New Roman" w:hAnsi="Times New Roman" w:eastAsia="Times New Roman"/>
          <w:i/>
          <w:sz w:val="24"/>
        </w:rPr>
        <w:t>r</w:t>
      </w:r>
      <w:r>
        <w:rPr>
          <w:rFonts w:ascii="Times New Roman" w:hAnsi="Times New Roman" w:eastAsia="Times New Roman"/>
          <w:sz w:val="24"/>
        </w:rPr>
        <w:t xml:space="preserve"> = .179; Q_between(1) = 0.13, </w:t>
      </w:r>
      <w:r>
        <w:rPr>
          <w:rFonts w:ascii="Times New Roman" w:hAnsi="Times New Roman" w:eastAsia="Times New Roman"/>
          <w:i/>
          <w:sz w:val="24"/>
        </w:rPr>
        <w:t>p</w:t>
      </w:r>
      <w:r>
        <w:rPr>
          <w:rFonts w:ascii="Times New Roman" w:hAnsi="Times New Roman" w:eastAsia="Times New Roman"/>
          <w:sz w:val="24"/>
        </w:rPr>
        <w:t xml:space="preserve"> = .716), providing no evidence that the COVID-19 emergency remote teaching context selectively amplified the role of Conscientiousness. The Neuroticism-era pattern was consistent with an attenuation hypothesis (pre-COVID </w:t>
      </w:r>
      <w:r>
        <w:rPr>
          <w:rFonts w:ascii="Times New Roman" w:hAnsi="Times New Roman" w:eastAsia="Times New Roman"/>
          <w:i/>
          <w:sz w:val="24"/>
        </w:rPr>
        <w:t>r</w:t>
      </w:r>
      <w:r>
        <w:rPr>
          <w:rFonts w:ascii="Times New Roman" w:hAnsi="Times New Roman" w:eastAsia="Times New Roman"/>
          <w:sz w:val="24"/>
        </w:rPr>
        <w:t xml:space="preserve"> = −.050 vs. COVID </w:t>
      </w:r>
      <w:r>
        <w:rPr>
          <w:rFonts w:ascii="Times New Roman" w:hAnsi="Times New Roman" w:eastAsia="Times New Roman"/>
          <w:i/>
          <w:sz w:val="24"/>
        </w:rPr>
        <w:t>r</w:t>
      </w:r>
      <w:r>
        <w:rPr>
          <w:rFonts w:ascii="Times New Roman" w:hAnsi="Times New Roman" w:eastAsia="Times New Roman"/>
          <w:sz w:val="24"/>
        </w:rPr>
        <w:t xml:space="preserve"> = .060; Q_between(1) = 2.04, </w:t>
      </w:r>
      <w:r>
        <w:rPr>
          <w:rFonts w:ascii="Times New Roman" w:hAnsi="Times New Roman" w:eastAsia="Times New Roman"/>
          <w:i/>
          <w:sz w:val="24"/>
        </w:rPr>
        <w:t>p</w:t>
      </w:r>
      <w:r>
        <w:rPr>
          <w:rFonts w:ascii="Times New Roman" w:hAnsi="Times New Roman" w:eastAsia="Times New Roman"/>
          <w:sz w:val="24"/>
        </w:rPr>
        <w:t xml:space="preserve"> = .153), but did not reach conventional significance. The post-COVID era was under-represented (</w:t>
      </w:r>
      <w:r>
        <w:rPr>
          <w:rFonts w:ascii="Times New Roman" w:hAnsi="Times New Roman" w:eastAsia="Times New Roman"/>
          <w:i/>
          <w:sz w:val="24"/>
        </w:rPr>
        <w:t>k</w:t>
      </w:r>
      <w:r>
        <w:rPr>
          <w:rFonts w:ascii="Times New Roman" w:hAnsi="Times New Roman" w:eastAsia="Times New Roman"/>
          <w:sz w:val="24"/>
        </w:rPr>
        <w:t xml:space="preserve"> = 2 studies explicitly post-COVID) and could not be isolated as a distinct subgroup.</w:t>
      </w:r>
    </w:p>
    <w:p>
      <w:pPr>
        <w:spacing w:line="480" w:lineRule="auto" w:before="0" w:after="0"/>
        <w:ind w:firstLine="720"/>
      </w:pPr>
      <w:r>
        <w:rPr>
          <w:rFonts w:ascii="Times New Roman" w:hAnsi="Times New Roman" w:eastAsia="Times New Roman"/>
          <w:sz w:val="24"/>
        </w:rPr>
        <w:t xml:space="preserve">Outcome type. A second highly significant moderator effect emerged for Extraversion: in objective achievement outcomes (GPA, MOOC composite, course grade; </w:t>
      </w:r>
      <w:r>
        <w:rPr>
          <w:rFonts w:ascii="Times New Roman" w:hAnsi="Times New Roman" w:eastAsia="Times New Roman"/>
          <w:i/>
          <w:sz w:val="24"/>
        </w:rPr>
        <w:t>k</w:t>
      </w:r>
      <w:r>
        <w:rPr>
          <w:rFonts w:ascii="Times New Roman" w:hAnsi="Times New Roman" w:eastAsia="Times New Roman"/>
          <w:sz w:val="24"/>
        </w:rPr>
        <w:t xml:space="preserve"> = 7) the pooled correlation was </w:t>
      </w:r>
      <w:r>
        <w:rPr>
          <w:rFonts w:ascii="Times New Roman" w:hAnsi="Times New Roman" w:eastAsia="Times New Roman"/>
          <w:i/>
          <w:sz w:val="24"/>
        </w:rPr>
        <w:t>r</w:t>
      </w:r>
      <w:r>
        <w:rPr>
          <w:rFonts w:ascii="Times New Roman" w:hAnsi="Times New Roman" w:eastAsia="Times New Roman"/>
          <w:sz w:val="24"/>
        </w:rPr>
        <w:t xml:space="preserve"> = −.038 (95% CI calculation yielded narrow bounds near zero), whereas in self-rated performance outcomes (</w:t>
      </w:r>
      <w:r>
        <w:rPr>
          <w:rFonts w:ascii="Times New Roman" w:hAnsi="Times New Roman" w:eastAsia="Times New Roman"/>
          <w:i/>
          <w:sz w:val="24"/>
        </w:rPr>
        <w:t>k</w:t>
      </w:r>
      <w:r>
        <w:rPr>
          <w:rFonts w:ascii="Times New Roman" w:hAnsi="Times New Roman" w:eastAsia="Times New Roman"/>
          <w:sz w:val="24"/>
        </w:rPr>
        <w:t xml:space="preserve"> = 2) it was </w:t>
      </w:r>
      <w:r>
        <w:rPr>
          <w:rFonts w:ascii="Times New Roman" w:hAnsi="Times New Roman" w:eastAsia="Times New Roman"/>
          <w:i/>
          <w:sz w:val="24"/>
        </w:rPr>
        <w:t>r</w:t>
      </w:r>
      <w:r>
        <w:rPr>
          <w:rFonts w:ascii="Times New Roman" w:hAnsi="Times New Roman" w:eastAsia="Times New Roman"/>
          <w:sz w:val="24"/>
        </w:rPr>
        <w:t xml:space="preserve"> = .117; Q_between(1) = 17.30, </w:t>
      </w:r>
      <w:r>
        <w:rPr>
          <w:rFonts w:ascii="Times New Roman" w:hAnsi="Times New Roman" w:eastAsia="Times New Roman"/>
          <w:i/>
          <w:sz w:val="24"/>
        </w:rPr>
        <w:t>p</w:t>
      </w:r>
      <w:r>
        <w:rPr>
          <w:rFonts w:ascii="Times New Roman" w:hAnsi="Times New Roman" w:eastAsia="Times New Roman"/>
          <w:sz w:val="24"/>
        </w:rPr>
        <w:t xml:space="preserve"> &lt; .001. This divergence is theoretically important: extraverts appear to self-report better performance but objective measures reveal weakly negative or null effects. This pattern is consistent with a self-enhancement bias mechanism in extraverted learners and provides novel meta-analytic evidence that the choice of outcome operationalization systematically alters the Extraversion-achievement association. For the other four traits, the outcome type moderator was not significant (all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&gt; .12). The six remaining pre-registered moderators could not be tested quantitatively due to insufficient </w:t>
      </w:r>
      <w:r>
        <w:rPr>
          <w:rFonts w:ascii="Times New Roman" w:hAnsi="Times New Roman" w:eastAsia="Times New Roman"/>
          <w:i/>
          <w:sz w:val="24"/>
        </w:rPr>
        <w:t>k</w:t>
      </w:r>
      <w:r>
        <w:rPr>
          <w:rFonts w:ascii="Times New Roman" w:hAnsi="Times New Roman" w:eastAsia="Times New Roman"/>
          <w:sz w:val="24"/>
        </w:rPr>
        <w:t xml:space="preserve"> per level; the narrative description is provided in Methods.</w:t>
      </w:r>
    </w:p>
    <w:p>
      <w:pPr>
        <w:pStyle w:val="Heading2"/>
        <w:spacing w:line="480" w:lineRule="auto" w:before="0" w:after="0"/>
      </w:pPr>
      <w:r>
        <w:t>Sensitivity Analyses</w:t>
      </w:r>
    </w:p>
    <w:p>
      <w:pPr>
        <w:spacing w:line="480" w:lineRule="auto" w:before="0" w:after="0"/>
        <w:ind w:firstLine="720"/>
      </w:pPr>
      <w:r>
        <w:rPr>
          <w:rFonts w:ascii="Times New Roman" w:hAnsi="Times New Roman" w:eastAsia="Times New Roman"/>
          <w:sz w:val="24"/>
        </w:rPr>
        <w:t xml:space="preserve">Four pre-specified sensitivity analyses were executed and are summarized in Table 4. First, excluding studies with risk-of-bias aggregate scores below 5 produced only small changes in the pooled estimates (maximum |Δr| = .015 for Conscientiousness; pooled C shifted from .167 to .182), indicating that findings were not driven by low-quality studies. Second, excluding the present author's own prior primary study (Tokiwa, 2025) did not change the pooled estimates at all (|Δr| &lt; .001 for every trait), because the author's study did not contribute zero-order correlations to the primary pool. Third, excluding studies whose effect sizes had been Peterson-Brown-converted from </w:t>
      </w:r>
      <w:r>
        <w:rPr>
          <w:rFonts w:ascii="Times New Roman" w:hAnsi="Times New Roman" w:eastAsia="Times New Roman"/>
          <w:i/>
          <w:sz w:val="24"/>
        </w:rPr>
        <w:t>β</w:t>
      </w:r>
      <w:r>
        <w:rPr>
          <w:rFonts w:ascii="Times New Roman" w:hAnsi="Times New Roman" w:eastAsia="Times New Roman"/>
          <w:sz w:val="24"/>
        </w:rPr>
        <w:t xml:space="preserve"> to </w:t>
      </w:r>
      <w:r>
        <w:rPr>
          <w:rFonts w:ascii="Times New Roman" w:hAnsi="Times New Roman" w:eastAsia="Times New Roman"/>
          <w:i/>
          <w:sz w:val="24"/>
        </w:rPr>
        <w:t>r</w:t>
      </w:r>
      <w:r>
        <w:rPr>
          <w:rFonts w:ascii="Times New Roman" w:hAnsi="Times New Roman" w:eastAsia="Times New Roman"/>
          <w:sz w:val="24"/>
        </w:rPr>
        <w:t xml:space="preserve"> produced larger changes, particularly for Neuroticism (pooled </w:t>
      </w:r>
      <w:r>
        <w:rPr>
          <w:rFonts w:ascii="Times New Roman" w:hAnsi="Times New Roman" w:eastAsia="Times New Roman"/>
          <w:i/>
          <w:sz w:val="24"/>
        </w:rPr>
        <w:t>r</w:t>
      </w:r>
      <w:r>
        <w:rPr>
          <w:rFonts w:ascii="Times New Roman" w:hAnsi="Times New Roman" w:eastAsia="Times New Roman"/>
          <w:sz w:val="24"/>
        </w:rPr>
        <w:t xml:space="preserve"> shifted from .018 to −.043, |Δr| = .061) and Openness (|Δr| = .055), both of which moved in the direction predicted by Hypotheses 4 and 2, respectively. This pattern suggests that the β-converted studies systematically attenuate trait effects and should be interpreted cautiously. Fourth, the leave-one-out analysis (Table S3) identified Yu (2021) as the most influential single study for the Agreeableness pool (removal shifted </w:t>
      </w:r>
      <w:r>
        <w:rPr>
          <w:rFonts w:ascii="Times New Roman" w:hAnsi="Times New Roman" w:eastAsia="Times New Roman"/>
          <w:i/>
          <w:sz w:val="24"/>
        </w:rPr>
        <w:t>r</w:t>
      </w:r>
      <w:r>
        <w:rPr>
          <w:rFonts w:ascii="Times New Roman" w:hAnsi="Times New Roman" w:eastAsia="Times New Roman"/>
          <w:sz w:val="24"/>
        </w:rPr>
        <w:t xml:space="preserve"> from .112 to .066) and Rivers (2021) as influential for Extraversion (removal shifted </w:t>
      </w:r>
      <w:r>
        <w:rPr>
          <w:rFonts w:ascii="Times New Roman" w:hAnsi="Times New Roman" w:eastAsia="Times New Roman"/>
          <w:i/>
          <w:sz w:val="24"/>
        </w:rPr>
        <w:t>r</w:t>
      </w:r>
      <w:r>
        <w:rPr>
          <w:rFonts w:ascii="Times New Roman" w:hAnsi="Times New Roman" w:eastAsia="Times New Roman"/>
          <w:sz w:val="24"/>
        </w:rPr>
        <w:t xml:space="preserve"> from .002 to .028), consistent with their roles as the largest objective-outcome sources in those pools.</w:t>
      </w:r>
    </w:p>
    <w:p>
      <w:pPr>
        <w:pStyle w:val="Heading2"/>
        <w:spacing w:line="480" w:lineRule="auto" w:before="0" w:after="0"/>
      </w:pPr>
      <w:r>
        <w:t>Publication Bias Assessment</w:t>
      </w:r>
    </w:p>
    <w:p>
      <w:pPr>
        <w:spacing w:line="480" w:lineRule="auto" w:before="0" w:after="0"/>
        <w:ind w:firstLine="720"/>
      </w:pPr>
      <w:r>
        <w:rPr>
          <w:rFonts w:ascii="Times New Roman" w:hAnsi="Times New Roman" w:eastAsia="Times New Roman"/>
          <w:sz w:val="24"/>
        </w:rPr>
        <w:t xml:space="preserve">Funnel plots for each trait are presented in Figures 7A through 7E. Egger's regression asymmetry test was significant for Openness (intercept = −6.41, SE = 2.63, t(7) = −2.43, </w:t>
      </w:r>
      <w:r>
        <w:rPr>
          <w:rFonts w:ascii="Times New Roman" w:hAnsi="Times New Roman" w:eastAsia="Times New Roman"/>
          <w:i/>
          <w:sz w:val="24"/>
        </w:rPr>
        <w:t>p</w:t>
      </w:r>
      <w:r>
        <w:rPr>
          <w:rFonts w:ascii="Times New Roman" w:hAnsi="Times New Roman" w:eastAsia="Times New Roman"/>
          <w:sz w:val="24"/>
        </w:rPr>
        <w:t xml:space="preserve"> = .045) and approached significance for Agreeableness (intercept = −8.53, SE = 4.03, t(7) = −2.12, </w:t>
      </w:r>
      <w:r>
        <w:rPr>
          <w:rFonts w:ascii="Times New Roman" w:hAnsi="Times New Roman" w:eastAsia="Times New Roman"/>
          <w:i/>
          <w:sz w:val="24"/>
        </w:rPr>
        <w:t>p</w:t>
      </w:r>
      <w:r>
        <w:rPr>
          <w:rFonts w:ascii="Times New Roman" w:hAnsi="Times New Roman" w:eastAsia="Times New Roman"/>
          <w:sz w:val="24"/>
        </w:rPr>
        <w:t xml:space="preserve"> = .072). For the remaining traits the test was not significant (Conscientiousness intercept = 2.14, </w:t>
      </w:r>
      <w:r>
        <w:rPr>
          <w:rFonts w:ascii="Times New Roman" w:hAnsi="Times New Roman" w:eastAsia="Times New Roman"/>
          <w:i/>
          <w:sz w:val="24"/>
        </w:rPr>
        <w:t>p</w:t>
      </w:r>
      <w:r>
        <w:rPr>
          <w:rFonts w:ascii="Times New Roman" w:hAnsi="Times New Roman" w:eastAsia="Times New Roman"/>
          <w:sz w:val="24"/>
        </w:rPr>
        <w:t xml:space="preserve"> = .094; Extraversion intercept = 2.29, </w:t>
      </w:r>
      <w:r>
        <w:rPr>
          <w:rFonts w:ascii="Times New Roman" w:hAnsi="Times New Roman" w:eastAsia="Times New Roman"/>
          <w:i/>
          <w:sz w:val="24"/>
        </w:rPr>
        <w:t>p</w:t>
      </w:r>
      <w:r>
        <w:rPr>
          <w:rFonts w:ascii="Times New Roman" w:hAnsi="Times New Roman" w:eastAsia="Times New Roman"/>
          <w:sz w:val="24"/>
        </w:rPr>
        <w:t xml:space="preserve"> = .255; Neuroticism intercept = −1.79, </w:t>
      </w:r>
      <w:r>
        <w:rPr>
          <w:rFonts w:ascii="Times New Roman" w:hAnsi="Times New Roman" w:eastAsia="Times New Roman"/>
          <w:i/>
          <w:sz w:val="24"/>
        </w:rPr>
        <w:t>p</w:t>
      </w:r>
      <w:r>
        <w:rPr>
          <w:rFonts w:ascii="Times New Roman" w:hAnsi="Times New Roman" w:eastAsia="Times New Roman"/>
          <w:sz w:val="24"/>
        </w:rPr>
        <w:t xml:space="preserve"> = .304). Given the low statistical power of Egger's test with </w:t>
      </w:r>
      <w:r>
        <w:rPr>
          <w:rFonts w:ascii="Times New Roman" w:hAnsi="Times New Roman" w:eastAsia="Times New Roman"/>
          <w:i/>
          <w:sz w:val="24"/>
        </w:rPr>
        <w:t>k</w:t>
      </w:r>
      <w:r>
        <w:rPr>
          <w:rFonts w:ascii="Times New Roman" w:hAnsi="Times New Roman" w:eastAsia="Times New Roman"/>
          <w:sz w:val="24"/>
        </w:rPr>
        <w:t xml:space="preserve"> = 9–10, a non-significant result does not rule out publication bias, particularly for effects for which the direction of asymmetry is consistent with expected small-study positive bias (Conscientiousness).</w:t>
      </w:r>
    </w:p>
    <w:p>
      <w:pPr>
        <w:spacing w:line="480" w:lineRule="auto" w:before="0" w:after="0"/>
        <w:ind w:firstLine="720"/>
      </w:pPr>
      <w:r>
        <w:rPr>
          <w:rFonts w:ascii="Times New Roman" w:hAnsi="Times New Roman" w:eastAsia="Times New Roman"/>
          <w:sz w:val="24"/>
        </w:rPr>
        <w:t xml:space="preserve">Duval and Tweedie's (2000) trim-and-fill procedure imputed hypothetical missing studies on the under-represented side of the funnel for three of the five traits: one additional study for Openness (adjusted </w:t>
      </w:r>
      <w:r>
        <w:rPr>
          <w:rFonts w:ascii="Times New Roman" w:hAnsi="Times New Roman" w:eastAsia="Times New Roman"/>
          <w:i/>
          <w:sz w:val="24"/>
        </w:rPr>
        <w:t>r</w:t>
      </w:r>
      <w:r>
        <w:rPr>
          <w:rFonts w:ascii="Times New Roman" w:hAnsi="Times New Roman" w:eastAsia="Times New Roman"/>
          <w:sz w:val="24"/>
        </w:rPr>
        <w:t xml:space="preserve"> = .107 vs. original </w:t>
      </w:r>
      <w:r>
        <w:rPr>
          <w:rFonts w:ascii="Times New Roman" w:hAnsi="Times New Roman" w:eastAsia="Times New Roman"/>
          <w:i/>
          <w:sz w:val="24"/>
        </w:rPr>
        <w:t>r</w:t>
      </w:r>
      <w:r>
        <w:rPr>
          <w:rFonts w:ascii="Times New Roman" w:hAnsi="Times New Roman" w:eastAsia="Times New Roman"/>
          <w:sz w:val="24"/>
        </w:rPr>
        <w:t xml:space="preserve"> = .086), two for Extraversion (adjusted </w:t>
      </w:r>
      <w:r>
        <w:rPr>
          <w:rFonts w:ascii="Times New Roman" w:hAnsi="Times New Roman" w:eastAsia="Times New Roman"/>
          <w:i/>
          <w:sz w:val="24"/>
        </w:rPr>
        <w:t>r</w:t>
      </w:r>
      <w:r>
        <w:rPr>
          <w:rFonts w:ascii="Times New Roman" w:hAnsi="Times New Roman" w:eastAsia="Times New Roman"/>
          <w:sz w:val="24"/>
        </w:rPr>
        <w:t xml:space="preserve"> = −.036 vs. original </w:t>
      </w:r>
      <w:r>
        <w:rPr>
          <w:rFonts w:ascii="Times New Roman" w:hAnsi="Times New Roman" w:eastAsia="Times New Roman"/>
          <w:i/>
          <w:sz w:val="24"/>
        </w:rPr>
        <w:t>r</w:t>
      </w:r>
      <w:r>
        <w:rPr>
          <w:rFonts w:ascii="Times New Roman" w:hAnsi="Times New Roman" w:eastAsia="Times New Roman"/>
          <w:sz w:val="24"/>
        </w:rPr>
        <w:t xml:space="preserve"> = .002), and zero for Conscientiousness, Agreeableness, and Neuroticism. The adjusted Extraversion estimate moved slightly in the negative direction expected under Hypothesis 5, further supporting the hypothesis when asymmetry is considered. Trim-and-fill adjusted estimates are reported as a sensitivity check only and do not replace the primary pooled estimates. Grey-literature inclusion (A-19 MacLean 2022 MSc thesis; peer-reviewed conference proceedings) partially mitigates file-drawer bias; unpublished manuscripts and non-peer-reviewed preprints were excluded for quality reasons, a trade-off acknowledged as a limitation.</w:t>
      </w:r>
    </w:p>
    <w:p>
      <w:pPr>
        <w:pStyle w:val="Heading2"/>
        <w:spacing w:line="480" w:lineRule="auto" w:before="0" w:after="0"/>
      </w:pPr>
      <w:r>
        <w:t>GRADE Summary of Findings</w:t>
      </w:r>
    </w:p>
    <w:p>
      <w:pPr>
        <w:spacing w:line="480" w:lineRule="auto" w:before="0" w:after="0"/>
        <w:ind w:firstLine="720"/>
      </w:pPr>
      <w:r>
        <w:rPr>
          <w:rFonts w:ascii="Times New Roman" w:hAnsi="Times New Roman" w:eastAsia="Times New Roman"/>
          <w:sz w:val="24"/>
        </w:rPr>
        <w:t>The GRADE confidence rating for each Big Five trait is presented in Table 5 (Summary of Findings). Confidence in the pooled Conscientiousness–achievement association was rated as Moderate, reflecting adequate risk-of-bias across contributing studies (mean JBI = 6.0), moderate inconsistency (</w:t>
      </w:r>
      <w:r>
        <w:rPr>
          <w:rFonts w:ascii="Times New Roman" w:hAnsi="Times New Roman" w:eastAsia="Times New Roman"/>
          <w:i/>
          <w:sz w:val="24"/>
        </w:rPr>
        <w:t>I²</w:t>
      </w:r>
      <w:r>
        <w:rPr>
          <w:rFonts w:ascii="Times New Roman" w:hAnsi="Times New Roman" w:eastAsia="Times New Roman"/>
          <w:sz w:val="24"/>
        </w:rPr>
        <w:t xml:space="preserve"> = 65.1% with a PI that just crosses zero), direct relevance to the review question, adequate precision (CI width = .15 &lt; 2 × MOI of .10), and borderline publication-bias signal (Egger </w:t>
      </w:r>
      <w:r>
        <w:rPr>
          <w:rFonts w:ascii="Times New Roman" w:hAnsi="Times New Roman" w:eastAsia="Times New Roman"/>
          <w:i/>
          <w:sz w:val="24"/>
        </w:rPr>
        <w:t>p</w:t>
      </w:r>
      <w:r>
        <w:rPr>
          <w:rFonts w:ascii="Times New Roman" w:hAnsi="Times New Roman" w:eastAsia="Times New Roman"/>
          <w:sz w:val="24"/>
        </w:rPr>
        <w:t xml:space="preserve"> = .094). Confidence in the pooled Openness estimate was rated Low due to very high inconsistency (</w:t>
      </w:r>
      <w:r>
        <w:rPr>
          <w:rFonts w:ascii="Times New Roman" w:hAnsi="Times New Roman" w:eastAsia="Times New Roman"/>
          <w:i/>
          <w:sz w:val="24"/>
        </w:rPr>
        <w:t>I²</w:t>
      </w:r>
      <w:r>
        <w:rPr>
          <w:rFonts w:ascii="Times New Roman" w:hAnsi="Times New Roman" w:eastAsia="Times New Roman"/>
          <w:sz w:val="24"/>
        </w:rPr>
        <w:t xml:space="preserve"> = 92.0%), wide imprecision (CI = [−.044, .214]), and significant Egger asymmetry (</w:t>
      </w:r>
      <w:r>
        <w:rPr>
          <w:rFonts w:ascii="Times New Roman" w:hAnsi="Times New Roman" w:eastAsia="Times New Roman"/>
          <w:i/>
          <w:sz w:val="24"/>
        </w:rPr>
        <w:t>p</w:t>
      </w:r>
      <w:r>
        <w:rPr>
          <w:rFonts w:ascii="Times New Roman" w:hAnsi="Times New Roman" w:eastAsia="Times New Roman"/>
          <w:sz w:val="24"/>
        </w:rPr>
        <w:t xml:space="preserve"> = .045). Confidence in the pooled Extraversion estimate was rated Moderate, because the null result is robust to trim-and-fill adjustment, consistent with pre-registered H5, and supported by a highly significant region × Extraversion moderator effect. Confidence in the pooled Agreeableness estimate was rated Low, reflecting the extreme </w:t>
      </w:r>
      <w:r>
        <w:rPr>
          <w:rFonts w:ascii="Times New Roman" w:hAnsi="Times New Roman" w:eastAsia="Times New Roman"/>
          <w:i/>
          <w:sz w:val="24"/>
        </w:rPr>
        <w:t>I²</w:t>
      </w:r>
      <w:r>
        <w:rPr>
          <w:rFonts w:ascii="Times New Roman" w:hAnsi="Times New Roman" w:eastAsia="Times New Roman"/>
          <w:sz w:val="24"/>
        </w:rPr>
        <w:t xml:space="preserve"> (96.2%) and trend-level Egger asymmetry (</w:t>
      </w:r>
      <w:r>
        <w:rPr>
          <w:rFonts w:ascii="Times New Roman" w:hAnsi="Times New Roman" w:eastAsia="Times New Roman"/>
          <w:i/>
          <w:sz w:val="24"/>
        </w:rPr>
        <w:t>p</w:t>
      </w:r>
      <w:r>
        <w:rPr>
          <w:rFonts w:ascii="Times New Roman" w:hAnsi="Times New Roman" w:eastAsia="Times New Roman"/>
          <w:sz w:val="24"/>
        </w:rPr>
        <w:t xml:space="preserve"> = .072). Confidence in the pooled Neuroticism estimate was rated Low, reflecting moderate-to-high inconsistency (</w:t>
      </w:r>
      <w:r>
        <w:rPr>
          <w:rFonts w:ascii="Times New Roman" w:hAnsi="Times New Roman" w:eastAsia="Times New Roman"/>
          <w:i/>
          <w:sz w:val="24"/>
        </w:rPr>
        <w:t>I²</w:t>
      </w:r>
      <w:r>
        <w:rPr>
          <w:rFonts w:ascii="Times New Roman" w:hAnsi="Times New Roman" w:eastAsia="Times New Roman"/>
          <w:sz w:val="24"/>
        </w:rPr>
        <w:t xml:space="preserve"> = 79.0%) and a null point estimate with wide intervals. No trait reached the threshold for an upgrade based on large magnitude (|pooled r| ≥ .30), and no facet-level dose-response analysis was possible due to insufficient facet-level reporting in the primary corpus.</w:t>
      </w:r>
    </w:p>
    <w:p>
      <w:pPr>
        <w:pStyle w:val="Heading1"/>
        <w:spacing w:line="480" w:lineRule="auto" w:before="0" w:after="0"/>
      </w:pPr>
      <w:r>
        <w:t>Discussion</w:t>
      </w:r>
    </w:p>
    <w:p>
      <w:pPr>
        <w:pStyle w:val="Heading2"/>
        <w:spacing w:line="480" w:lineRule="auto" w:before="0" w:after="0"/>
      </w:pPr>
      <w:r>
        <w:t>Summary of Findings</w:t>
      </w:r>
    </w:p>
    <w:p>
      <w:pPr>
        <w:spacing w:line="480" w:lineRule="auto" w:before="0" w:after="0"/>
        <w:ind w:firstLine="720"/>
      </w:pPr>
      <w:r>
        <w:rPr>
          <w:rFonts w:ascii="Times New Roman" w:hAnsi="Times New Roman" w:eastAsia="Times New Roman"/>
          <w:sz w:val="24"/>
        </w:rPr>
        <w:t xml:space="preserve">The present systematic review and meta-analysis provides the first quantitative synthesis of the association between Big Five personality traits and academic achievement in online learning environments. Across 31 included primary studies, of which 10 contributed direct Pearson correlations to the primary achievement pool (total pooled </w:t>
      </w:r>
      <w:r>
        <w:rPr>
          <w:rFonts w:ascii="Times New Roman" w:hAnsi="Times New Roman" w:eastAsia="Times New Roman"/>
          <w:i/>
          <w:sz w:val="24"/>
        </w:rPr>
        <w:t>N</w:t>
      </w:r>
      <w:r>
        <w:rPr>
          <w:rFonts w:ascii="Times New Roman" w:hAnsi="Times New Roman" w:eastAsia="Times New Roman"/>
          <w:sz w:val="24"/>
        </w:rPr>
        <w:t xml:space="preserve"> = 3,384), the pooled correlation between Conscientiousness and online academic achievement was </w:t>
      </w:r>
      <w:r>
        <w:rPr>
          <w:rFonts w:ascii="Times New Roman" w:hAnsi="Times New Roman" w:eastAsia="Times New Roman"/>
          <w:i/>
          <w:sz w:val="24"/>
        </w:rPr>
        <w:t>r</w:t>
      </w:r>
      <w:r>
        <w:rPr>
          <w:rFonts w:ascii="Times New Roman" w:hAnsi="Times New Roman" w:eastAsia="Times New Roman"/>
          <w:sz w:val="24"/>
        </w:rPr>
        <w:t xml:space="preserve"> = .167 (95% CI [.089, .243]). Comparable estimates were obtained for Openness (</w:t>
      </w:r>
      <w:r>
        <w:rPr>
          <w:rFonts w:ascii="Times New Roman" w:hAnsi="Times New Roman" w:eastAsia="Times New Roman"/>
          <w:i/>
          <w:sz w:val="24"/>
        </w:rPr>
        <w:t>r</w:t>
      </w:r>
      <w:r>
        <w:rPr>
          <w:rFonts w:ascii="Times New Roman" w:hAnsi="Times New Roman" w:eastAsia="Times New Roman"/>
          <w:sz w:val="24"/>
        </w:rPr>
        <w:t xml:space="preserve"> = .086 [−.044, .214]), Agreeableness (</w:t>
      </w:r>
      <w:r>
        <w:rPr>
          <w:rFonts w:ascii="Times New Roman" w:hAnsi="Times New Roman" w:eastAsia="Times New Roman"/>
          <w:i/>
          <w:sz w:val="24"/>
        </w:rPr>
        <w:t>r</w:t>
      </w:r>
      <w:r>
        <w:rPr>
          <w:rFonts w:ascii="Times New Roman" w:hAnsi="Times New Roman" w:eastAsia="Times New Roman"/>
          <w:sz w:val="24"/>
        </w:rPr>
        <w:t xml:space="preserve"> = .112 [−.031, .250]), Neuroticism (</w:t>
      </w:r>
      <w:r>
        <w:rPr>
          <w:rFonts w:ascii="Times New Roman" w:hAnsi="Times New Roman" w:eastAsia="Times New Roman"/>
          <w:i/>
          <w:sz w:val="24"/>
        </w:rPr>
        <w:t>r</w:t>
      </w:r>
      <w:r>
        <w:rPr>
          <w:rFonts w:ascii="Times New Roman" w:hAnsi="Times New Roman" w:eastAsia="Times New Roman"/>
          <w:sz w:val="24"/>
        </w:rPr>
        <w:t xml:space="preserve"> = .018 [−.079, .114]), and Extraversion (</w:t>
      </w:r>
      <w:r>
        <w:rPr>
          <w:rFonts w:ascii="Times New Roman" w:hAnsi="Times New Roman" w:eastAsia="Times New Roman"/>
          <w:i/>
          <w:sz w:val="24"/>
        </w:rPr>
        <w:t>r</w:t>
      </w:r>
      <w:r>
        <w:rPr>
          <w:rFonts w:ascii="Times New Roman" w:hAnsi="Times New Roman" w:eastAsia="Times New Roman"/>
          <w:sz w:val="24"/>
        </w:rPr>
        <w:t xml:space="preserve"> = .002 [−.076, .080]). The pattern of pooled effects was partially consistent with established face-to-face benchmarks—Conscientiousness emerged as the strongest positive predictor, and Extraversion as null—but diverged in two important respects: the Conscientiousness magnitude was somewhat lower than face-to-face </w:t>
      </w:r>
      <w:r>
        <w:rPr>
          <w:rFonts w:ascii="Times New Roman" w:hAnsi="Times New Roman" w:eastAsia="Times New Roman"/>
          <w:i/>
          <w:sz w:val="24"/>
        </w:rPr>
        <w:t>ρ</w:t>
      </w:r>
      <w:r>
        <w:rPr>
          <w:rFonts w:ascii="Times New Roman" w:hAnsi="Times New Roman" w:eastAsia="Times New Roman"/>
          <w:sz w:val="24"/>
        </w:rPr>
        <w:t xml:space="preserve"> of .20–.28, and Agreeableness showed a slightly larger effect than in face-to-face samples, driven by Chinese and Middle Eastern studies. Two pre-registered moderator effects were highly significant: Extraversion × Region (</w:t>
      </w:r>
      <w:r>
        <w:rPr>
          <w:rFonts w:ascii="Times New Roman" w:hAnsi="Times New Roman" w:eastAsia="Times New Roman"/>
          <w:i/>
          <w:sz w:val="24"/>
        </w:rPr>
        <w:t>Q_between</w:t>
      </w:r>
      <w:r>
        <w:rPr>
          <w:rFonts w:ascii="Times New Roman" w:hAnsi="Times New Roman" w:eastAsia="Times New Roman"/>
          <w:sz w:val="24"/>
        </w:rPr>
        <w:t xml:space="preserve"> = 46.43, </w:t>
      </w:r>
      <w:r>
        <w:rPr>
          <w:rFonts w:ascii="Times New Roman" w:hAnsi="Times New Roman" w:eastAsia="Times New Roman"/>
          <w:i/>
          <w:sz w:val="24"/>
        </w:rPr>
        <w:t>p</w:t>
      </w:r>
      <w:r>
        <w:rPr>
          <w:rFonts w:ascii="Times New Roman" w:hAnsi="Times New Roman" w:eastAsia="Times New Roman"/>
          <w:sz w:val="24"/>
        </w:rPr>
        <w:t xml:space="preserve"> &lt; .001), with Asian samples showing </w:t>
      </w:r>
      <w:r>
        <w:rPr>
          <w:rFonts w:ascii="Times New Roman" w:hAnsi="Times New Roman" w:eastAsia="Times New Roman"/>
          <w:i/>
          <w:sz w:val="24"/>
        </w:rPr>
        <w:t>r</w:t>
      </w:r>
      <w:r>
        <w:rPr>
          <w:rFonts w:ascii="Times New Roman" w:hAnsi="Times New Roman" w:eastAsia="Times New Roman"/>
          <w:sz w:val="24"/>
        </w:rPr>
        <w:t xml:space="preserve"> = −.131 vs. non-Asian </w:t>
      </w:r>
      <w:r>
        <w:rPr>
          <w:rFonts w:ascii="Times New Roman" w:hAnsi="Times New Roman" w:eastAsia="Times New Roman"/>
          <w:i/>
          <w:sz w:val="24"/>
        </w:rPr>
        <w:t>r</w:t>
      </w:r>
      <w:r>
        <w:rPr>
          <w:rFonts w:ascii="Times New Roman" w:hAnsi="Times New Roman" w:eastAsia="Times New Roman"/>
          <w:sz w:val="24"/>
        </w:rPr>
        <w:t xml:space="preserve"> = .050, and Extraversion × Outcome Type (</w:t>
      </w:r>
      <w:r>
        <w:rPr>
          <w:rFonts w:ascii="Times New Roman" w:hAnsi="Times New Roman" w:eastAsia="Times New Roman"/>
          <w:i/>
          <w:sz w:val="24"/>
        </w:rPr>
        <w:t>Q_between</w:t>
      </w:r>
      <w:r>
        <w:rPr>
          <w:rFonts w:ascii="Times New Roman" w:hAnsi="Times New Roman" w:eastAsia="Times New Roman"/>
          <w:sz w:val="24"/>
        </w:rPr>
        <w:t xml:space="preserve"> = 17.30, </w:t>
      </w:r>
      <w:r>
        <w:rPr>
          <w:rFonts w:ascii="Times New Roman" w:hAnsi="Times New Roman" w:eastAsia="Times New Roman"/>
          <w:i/>
          <w:sz w:val="24"/>
        </w:rPr>
        <w:t>p</w:t>
      </w:r>
      <w:r>
        <w:rPr>
          <w:rFonts w:ascii="Times New Roman" w:hAnsi="Times New Roman" w:eastAsia="Times New Roman"/>
          <w:sz w:val="24"/>
        </w:rPr>
        <w:t xml:space="preserve"> &lt; .001), with objective outcomes showing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w:t>
      </w:r>
    </w:p>
    <w:p>
      <w:pPr>
        <w:pStyle w:val="Heading2"/>
        <w:spacing w:line="480" w:lineRule="auto" w:before="0" w:after="0"/>
      </w:pPr>
      <w:r>
        <w:t>Evaluation of Pre-registered Hypotheses</w:t>
      </w:r>
    </w:p>
    <w:p>
      <w:pPr>
        <w:spacing w:line="480" w:lineRule="auto" w:before="0" w:after="0"/>
        <w:ind w:firstLine="720"/>
      </w:pPr>
      <w:r>
        <w:rPr>
          <w:rFonts w:ascii="Times New Roman" w:hAnsi="Times New Roman" w:eastAsia="Times New Roman"/>
          <w:sz w:val="24"/>
        </w:rPr>
        <w:t xml:space="preserve">Hypothesis 1 (Conscientiousness as strongest positive predictor). The pooled Conscientiousness–achievement correlation of </w:t>
      </w:r>
      <w:r>
        <w:rPr>
          <w:rFonts w:ascii="Times New Roman" w:hAnsi="Times New Roman" w:eastAsia="Times New Roman"/>
          <w:i/>
          <w:sz w:val="24"/>
        </w:rPr>
        <w:t>r</w:t>
      </w:r>
      <w:r>
        <w:rPr>
          <w:rFonts w:ascii="Times New Roman" w:hAnsi="Times New Roman" w:eastAsia="Times New Roman"/>
          <w:sz w:val="24"/>
        </w:rPr>
        <w:t xml:space="preserve"> = .167 fell slightly below the pre-specified range of .20–.35, with the 95% confidence interval extending to .243 and thus overlapping the lower bound of the range. Given that (a) Conscientiousness was unambiguously the largest positive effect of the five traits tested, and (b) the point estimate is within the broader convergent benchmark range of .19–.28 documented across eight prior meta-analyses, H1 is judged partially supported. The magnitude of the C effect in online environments was slightly smaller than face-to-face benchmarks reported by Poropat (2009; </w:t>
      </w:r>
      <w:r>
        <w:rPr>
          <w:rFonts w:ascii="Times New Roman" w:hAnsi="Times New Roman" w:eastAsia="Times New Roman"/>
          <w:i/>
          <w:sz w:val="24"/>
        </w:rPr>
        <w:t>ρ</w:t>
      </w:r>
      <w:r>
        <w:rPr>
          <w:rFonts w:ascii="Times New Roman" w:hAnsi="Times New Roman" w:eastAsia="Times New Roman"/>
          <w:sz w:val="24"/>
        </w:rPr>
        <w:t xml:space="preserve"> = .22), McAbee and Oswald (2013; </w:t>
      </w:r>
      <w:r>
        <w:rPr>
          <w:rFonts w:ascii="Times New Roman" w:hAnsi="Times New Roman" w:eastAsia="Times New Roman"/>
          <w:i/>
          <w:sz w:val="24"/>
        </w:rPr>
        <w:t>ρ</w:t>
      </w:r>
      <w:r>
        <w:rPr>
          <w:rFonts w:ascii="Times New Roman" w:hAnsi="Times New Roman" w:eastAsia="Times New Roman"/>
          <w:sz w:val="24"/>
        </w:rPr>
        <w:t xml:space="preserve"> = .26), Vedel (2014; </w:t>
      </w:r>
      <w:r>
        <w:rPr>
          <w:rFonts w:ascii="Times New Roman" w:hAnsi="Times New Roman" w:eastAsia="Times New Roman"/>
          <w:i/>
          <w:sz w:val="24"/>
        </w:rPr>
        <w:t>ρ</w:t>
      </w:r>
      <w:r>
        <w:rPr>
          <w:rFonts w:ascii="Times New Roman" w:hAnsi="Times New Roman" w:eastAsia="Times New Roman"/>
          <w:sz w:val="24"/>
        </w:rPr>
        <w:t xml:space="preserve"> = .26), Mammadov (2022; </w:t>
      </w:r>
      <w:r>
        <w:rPr>
          <w:rFonts w:ascii="Times New Roman" w:hAnsi="Times New Roman" w:eastAsia="Times New Roman"/>
          <w:i/>
          <w:sz w:val="24"/>
        </w:rPr>
        <w:t>ρ</w:t>
      </w:r>
      <w:r>
        <w:rPr>
          <w:rFonts w:ascii="Times New Roman" w:hAnsi="Times New Roman" w:eastAsia="Times New Roman"/>
          <w:sz w:val="24"/>
        </w:rPr>
        <w:t xml:space="preserve"> = .27), and Chen et al. (2025; </w:t>
      </w:r>
      <w:r>
        <w:rPr>
          <w:rFonts w:ascii="Times New Roman" w:hAnsi="Times New Roman" w:eastAsia="Times New Roman"/>
          <w:i/>
          <w:sz w:val="24"/>
        </w:rPr>
        <w:t>r</w:t>
      </w:r>
      <w:r>
        <w:rPr>
          <w:rFonts w:ascii="Times New Roman" w:hAnsi="Times New Roman" w:eastAsia="Times New Roman"/>
          <w:sz w:val="24"/>
        </w:rPr>
        <w:t xml:space="preserve"> = .206), a pattern consistent with the theoretical prediction that online auto-grading reduces the teacher-observation pathway through which Conscientiousness is channeled into grades (see Theoretical Implications below).</w:t>
      </w:r>
    </w:p>
    <w:p>
      <w:pPr>
        <w:spacing w:line="480" w:lineRule="auto" w:before="0" w:after="0"/>
        <w:ind w:firstLine="720"/>
      </w:pPr>
      <w:r>
        <w:rPr>
          <w:rFonts w:ascii="Times New Roman" w:hAnsi="Times New Roman" w:eastAsia="Times New Roman"/>
          <w:sz w:val="24"/>
        </w:rPr>
        <w:t>Hypothesis 2 (Openness as second-strongest positive predictor). The pooled Openness–achievement correlation (</w:t>
      </w:r>
      <w:r>
        <w:rPr>
          <w:rFonts w:ascii="Times New Roman" w:hAnsi="Times New Roman" w:eastAsia="Times New Roman"/>
          <w:i/>
          <w:sz w:val="24"/>
        </w:rPr>
        <w:t>r</w:t>
      </w:r>
      <w:r>
        <w:rPr>
          <w:rFonts w:ascii="Times New Roman" w:hAnsi="Times New Roman" w:eastAsia="Times New Roman"/>
          <w:sz w:val="24"/>
        </w:rPr>
        <w:t xml:space="preserve"> = .086) was the third-largest positive effect in the present synthesis, surpassed by both Conscientiousness (</w:t>
      </w:r>
      <w:r>
        <w:rPr>
          <w:rFonts w:ascii="Times New Roman" w:hAnsi="Times New Roman" w:eastAsia="Times New Roman"/>
          <w:i/>
          <w:sz w:val="24"/>
        </w:rPr>
        <w:t>r</w:t>
      </w:r>
      <w:r>
        <w:rPr>
          <w:rFonts w:ascii="Times New Roman" w:hAnsi="Times New Roman" w:eastAsia="Times New Roman"/>
          <w:sz w:val="24"/>
        </w:rPr>
        <w:t xml:space="preserve"> = .167) and Agreeableness (</w:t>
      </w:r>
      <w:r>
        <w:rPr>
          <w:rFonts w:ascii="Times New Roman" w:hAnsi="Times New Roman" w:eastAsia="Times New Roman"/>
          <w:i/>
          <w:sz w:val="24"/>
        </w:rPr>
        <w:t>r</w:t>
      </w:r>
      <w:r>
        <w:rPr>
          <w:rFonts w:ascii="Times New Roman" w:hAnsi="Times New Roman" w:eastAsia="Times New Roman"/>
          <w:sz w:val="24"/>
        </w:rPr>
        <w:t xml:space="preserve"> = .112). The 95% confidence interval crossed zero, and the estimate was comparable to the face-to-face benchmark of Mammadov (2022; </w:t>
      </w:r>
      <w:r>
        <w:rPr>
          <w:rFonts w:ascii="Times New Roman" w:hAnsi="Times New Roman" w:eastAsia="Times New Roman"/>
          <w:i/>
          <w:sz w:val="24"/>
        </w:rPr>
        <w:t>ρ</w:t>
      </w:r>
      <w:r>
        <w:rPr>
          <w:rFonts w:ascii="Times New Roman" w:hAnsi="Times New Roman" w:eastAsia="Times New Roman"/>
          <w:sz w:val="24"/>
        </w:rPr>
        <w:t xml:space="preserve"> = .16) but substantially below the K-12 estimate of Meyer et al. (2023; </w:t>
      </w:r>
      <w:r>
        <w:rPr>
          <w:rFonts w:ascii="Times New Roman" w:hAnsi="Times New Roman" w:eastAsia="Times New Roman"/>
          <w:i/>
          <w:sz w:val="24"/>
        </w:rPr>
        <w:t>ρ</w:t>
      </w:r>
      <w:r>
        <w:rPr>
          <w:rFonts w:ascii="Times New Roman" w:hAnsi="Times New Roman" w:eastAsia="Times New Roman"/>
          <w:sz w:val="24"/>
        </w:rPr>
        <w:t xml:space="preserve"> = .21). H2 is not supported. The prediction that online environments would amplify the Openness effect through a premium on self-directed exploration was not borne out; the failure to support H2 may partly reflect the near-universal use of undergraduate rather than K-12 samples in the online corpus, since Openness effects are known to decline with educational level (Mammadov, 2022; Meyer et al., 2023).</w:t>
      </w:r>
    </w:p>
    <w:p>
      <w:pPr>
        <w:spacing w:line="480" w:lineRule="auto" w:before="0" w:after="0"/>
        <w:ind w:firstLine="720"/>
      </w:pPr>
      <w:r>
        <w:rPr>
          <w:rFonts w:ascii="Times New Roman" w:hAnsi="Times New Roman" w:eastAsia="Times New Roman"/>
          <w:sz w:val="24"/>
        </w:rPr>
        <w:t xml:space="preserve">Hypothesis 3 (Agreeableness as small positive effect, weaker than FtF). The pooled Agreeableness–achievement correlation was </w:t>
      </w:r>
      <w:r>
        <w:rPr>
          <w:rFonts w:ascii="Times New Roman" w:hAnsi="Times New Roman" w:eastAsia="Times New Roman"/>
          <w:i/>
          <w:sz w:val="24"/>
        </w:rPr>
        <w:t>r</w:t>
      </w:r>
      <w:r>
        <w:rPr>
          <w:rFonts w:ascii="Times New Roman" w:hAnsi="Times New Roman" w:eastAsia="Times New Roman"/>
          <w:sz w:val="24"/>
        </w:rPr>
        <w:t xml:space="preserve"> = .112, slightly larger than the face-to-face benchmark range of .05–.10 (Poropat, 2009; Vedel, 2014; Chen et al., 2025). H3, which predicted a weaker rather than stronger effect, is therefore not supported. Examination of the primary corpus suggests that the pooled estimate is driven largely by Chinese undergraduate samples (A-28 Yu, 2021, converted </w:t>
      </w:r>
      <w:r>
        <w:rPr>
          <w:rFonts w:ascii="Times New Roman" w:hAnsi="Times New Roman" w:eastAsia="Times New Roman"/>
          <w:i/>
          <w:sz w:val="24"/>
        </w:rPr>
        <w:t>β</w:t>
      </w:r>
      <w:r>
        <w:rPr>
          <w:rFonts w:ascii="Times New Roman" w:hAnsi="Times New Roman" w:eastAsia="Times New Roman"/>
          <w:sz w:val="24"/>
        </w:rPr>
        <w:t xml:space="preserve"> = .442; A-26 Wang et al., 2023, </w:t>
      </w:r>
      <w:r>
        <w:rPr>
          <w:rFonts w:ascii="Times New Roman" w:hAnsi="Times New Roman" w:eastAsia="Times New Roman"/>
          <w:i/>
          <w:sz w:val="24"/>
        </w:rPr>
        <w:t>β</w:t>
      </w:r>
      <w:r>
        <w:rPr>
          <w:rFonts w:ascii="Times New Roman" w:hAnsi="Times New Roman" w:eastAsia="Times New Roman"/>
          <w:sz w:val="24"/>
        </w:rPr>
        <w:t xml:space="preserve"> to engagement = .112) and by Israeli samples (A-12 Baruth &amp; Cohen, 2022/2023, </w:t>
      </w:r>
      <w:r>
        <w:rPr>
          <w:rFonts w:ascii="Times New Roman" w:hAnsi="Times New Roman" w:eastAsia="Times New Roman"/>
          <w:i/>
          <w:sz w:val="24"/>
        </w:rPr>
        <w:t>ρ</w:t>
      </w:r>
      <w:r>
        <w:rPr>
          <w:rFonts w:ascii="Times New Roman" w:hAnsi="Times New Roman" w:eastAsia="Times New Roman"/>
          <w:sz w:val="24"/>
        </w:rPr>
        <w:t xml:space="preserve"> = .458 with satisfaction). These findings converge with Mammadov's (2022) Asian-sample amplification pattern and with Chen et al.'s (2025) cultural-moderation findings. The region moderator analysis (Asia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was directionally consistent with this interpretation but did not reach statistical significance (</w:t>
      </w:r>
      <w:r>
        <w:rPr>
          <w:rFonts w:ascii="Times New Roman" w:hAnsi="Times New Roman" w:eastAsia="Times New Roman"/>
          <w:i/>
          <w:sz w:val="24"/>
        </w:rPr>
        <w:t>Q_between</w:t>
      </w:r>
      <w:r>
        <w:rPr>
          <w:rFonts w:ascii="Times New Roman" w:hAnsi="Times New Roman" w:eastAsia="Times New Roman"/>
          <w:sz w:val="24"/>
        </w:rPr>
        <w:t xml:space="preserve"> = 2.17, </w:t>
      </w:r>
      <w:r>
        <w:rPr>
          <w:rFonts w:ascii="Times New Roman" w:hAnsi="Times New Roman" w:eastAsia="Times New Roman"/>
          <w:i/>
          <w:sz w:val="24"/>
        </w:rPr>
        <w:t>p</w:t>
      </w:r>
      <w:r>
        <w:rPr>
          <w:rFonts w:ascii="Times New Roman" w:hAnsi="Times New Roman" w:eastAsia="Times New Roman"/>
          <w:sz w:val="24"/>
        </w:rPr>
        <w:t xml:space="preserve"> = .140), owing to the small Asian subsample (</w:t>
      </w:r>
      <w:r>
        <w:rPr>
          <w:rFonts w:ascii="Times New Roman" w:hAnsi="Times New Roman" w:eastAsia="Times New Roman"/>
          <w:i/>
          <w:sz w:val="24"/>
        </w:rPr>
        <w:t>k</w:t>
      </w:r>
      <w:r>
        <w:rPr>
          <w:rFonts w:ascii="Times New Roman" w:hAnsi="Times New Roman" w:eastAsia="Times New Roman"/>
          <w:sz w:val="24"/>
        </w:rPr>
        <w:t xml:space="preserve"> = 2).</w:t>
      </w:r>
    </w:p>
    <w:p>
      <w:pPr>
        <w:spacing w:line="480" w:lineRule="auto" w:before="0" w:after="0"/>
        <w:ind w:firstLine="720"/>
      </w:pPr>
      <w:r>
        <w:rPr>
          <w:rFonts w:ascii="Times New Roman" w:hAnsi="Times New Roman" w:eastAsia="Times New Roman"/>
          <w:sz w:val="24"/>
        </w:rPr>
        <w:t xml:space="preserve">Hypothesis 4 (Neuroticism as negative, more pronounced in fully online). The pooled Neuroticism–achievement correlation was </w:t>
      </w:r>
      <w:r>
        <w:rPr>
          <w:rFonts w:ascii="Times New Roman" w:hAnsi="Times New Roman" w:eastAsia="Times New Roman"/>
          <w:i/>
          <w:sz w:val="24"/>
        </w:rPr>
        <w:t>r</w:t>
      </w:r>
      <w:r>
        <w:rPr>
          <w:rFonts w:ascii="Times New Roman" w:hAnsi="Times New Roman" w:eastAsia="Times New Roman"/>
          <w:sz w:val="24"/>
        </w:rPr>
        <w:t xml:space="preserve"> = .018, approximately null. H4, which predicted a negative pooled effect, is not supported by the primary analysis. Notably, the β-excluded sensitivity analysis (restricting the pool to studies with direct Pearson </w:t>
      </w:r>
      <w:r>
        <w:rPr>
          <w:rFonts w:ascii="Times New Roman" w:hAnsi="Times New Roman" w:eastAsia="Times New Roman"/>
          <w:i/>
          <w:sz w:val="24"/>
        </w:rPr>
        <w:t>r</w:t>
      </w:r>
      <w:r>
        <w:rPr>
          <w:rFonts w:ascii="Times New Roman" w:hAnsi="Times New Roman" w:eastAsia="Times New Roman"/>
          <w:sz w:val="24"/>
        </w:rPr>
        <w:t xml:space="preserve">) shifted the pooled Neuroticism estimate to </w:t>
      </w:r>
      <w:r>
        <w:rPr>
          <w:rFonts w:ascii="Times New Roman" w:hAnsi="Times New Roman" w:eastAsia="Times New Roman"/>
          <w:i/>
          <w:sz w:val="24"/>
        </w:rPr>
        <w:t>r</w:t>
      </w:r>
      <w:r>
        <w:rPr>
          <w:rFonts w:ascii="Times New Roman" w:hAnsi="Times New Roman" w:eastAsia="Times New Roman"/>
          <w:sz w:val="24"/>
        </w:rPr>
        <w:t xml:space="preserve"> = −.043, partial directional support for H4 under the stricter analytic specification. The discrepancy between the primary and sensitivity analyses suggests that Peterson-Brown-converted </w:t>
      </w:r>
      <w:r>
        <w:rPr>
          <w:rFonts w:ascii="Times New Roman" w:hAnsi="Times New Roman" w:eastAsia="Times New Roman"/>
          <w:i/>
          <w:sz w:val="24"/>
        </w:rPr>
        <w:t>β</w:t>
      </w:r>
      <w:r>
        <w:rPr>
          <w:rFonts w:ascii="Times New Roman" w:hAnsi="Times New Roman" w:eastAsia="Times New Roman"/>
          <w:sz w:val="24"/>
        </w:rPr>
        <w:t xml:space="preserve"> studies (principally Yu, 2021; Wang et al., 2023; Kaspar et al., 2023; Mustafa et al., 2022) systematically attenuate the Neuroticism effect, potentially because these studies control for multiple covariates in the </w:t>
      </w:r>
      <w:r>
        <w:rPr>
          <w:rFonts w:ascii="Times New Roman" w:hAnsi="Times New Roman" w:eastAsia="Times New Roman"/>
          <w:i/>
          <w:sz w:val="24"/>
        </w:rPr>
        <w:t>β</w:t>
      </w:r>
      <w:r>
        <w:rPr>
          <w:rFonts w:ascii="Times New Roman" w:hAnsi="Times New Roman" w:eastAsia="Times New Roman"/>
          <w:sz w:val="24"/>
        </w:rPr>
        <w:t xml:space="preserve"> coefficients, diluting the zero-order Neuroticism-outcome association.</w:t>
      </w:r>
    </w:p>
    <w:p>
      <w:pPr>
        <w:spacing w:line="480" w:lineRule="auto" w:before="0" w:after="0"/>
        <w:ind w:firstLine="720"/>
      </w:pPr>
      <w:r>
        <w:rPr>
          <w:rFonts w:ascii="Times New Roman" w:hAnsi="Times New Roman" w:eastAsia="Times New Roman"/>
          <w:sz w:val="24"/>
        </w:rPr>
        <w:t xml:space="preserve">Hypothesis 5 (Extraversion as null or weak negative). The pooled Extraversion–achievement correlation was </w:t>
      </w:r>
      <w:r>
        <w:rPr>
          <w:rFonts w:ascii="Times New Roman" w:hAnsi="Times New Roman" w:eastAsia="Times New Roman"/>
          <w:i/>
          <w:sz w:val="24"/>
        </w:rPr>
        <w:t>r</w:t>
      </w:r>
      <w:r>
        <w:rPr>
          <w:rFonts w:ascii="Times New Roman" w:hAnsi="Times New Roman" w:eastAsia="Times New Roman"/>
          <w:sz w:val="24"/>
        </w:rPr>
        <w:t xml:space="preserve"> = .002, consistent with H5's prediction of a null effect. H5 is supported. Moreover, two moderator analyses revealed systematic conditions under which Extraversion shifts in the negative direction predicted by H5's facet-level cancellation mechanism: in Asian samples the pooled effect was </w:t>
      </w:r>
      <w:r>
        <w:rPr>
          <w:rFonts w:ascii="Times New Roman" w:hAnsi="Times New Roman" w:eastAsia="Times New Roman"/>
          <w:i/>
          <w:sz w:val="24"/>
        </w:rPr>
        <w:t>r</w:t>
      </w:r>
      <w:r>
        <w:rPr>
          <w:rFonts w:ascii="Times New Roman" w:hAnsi="Times New Roman" w:eastAsia="Times New Roman"/>
          <w:sz w:val="24"/>
        </w:rPr>
        <w:t xml:space="preserve"> = −.131 (95% CI [−.314, .061]; </w:t>
      </w:r>
      <w:r>
        <w:rPr>
          <w:rFonts w:ascii="Times New Roman" w:hAnsi="Times New Roman" w:eastAsia="Times New Roman"/>
          <w:i/>
          <w:sz w:val="24"/>
        </w:rPr>
        <w:t>Q_between</w:t>
      </w:r>
      <w:r>
        <w:rPr>
          <w:rFonts w:ascii="Times New Roman" w:hAnsi="Times New Roman" w:eastAsia="Times New Roman"/>
          <w:sz w:val="24"/>
        </w:rPr>
        <w:t xml:space="preserve"> = 46.43, </w:t>
      </w:r>
      <w:r>
        <w:rPr>
          <w:rFonts w:ascii="Times New Roman" w:hAnsi="Times New Roman" w:eastAsia="Times New Roman"/>
          <w:i/>
          <w:sz w:val="24"/>
        </w:rPr>
        <w:t>p</w:t>
      </w:r>
      <w:r>
        <w:rPr>
          <w:rFonts w:ascii="Times New Roman" w:hAnsi="Times New Roman" w:eastAsia="Times New Roman"/>
          <w:sz w:val="24"/>
        </w:rPr>
        <w:t xml:space="preserve"> &lt; .001), and in objective achievement outcomes the pooled effect was </w:t>
      </w:r>
      <w:r>
        <w:rPr>
          <w:rFonts w:ascii="Times New Roman" w:hAnsi="Times New Roman" w:eastAsia="Times New Roman"/>
          <w:i/>
          <w:sz w:val="24"/>
        </w:rPr>
        <w:t>r</w:t>
      </w:r>
      <w:r>
        <w:rPr>
          <w:rFonts w:ascii="Times New Roman" w:hAnsi="Times New Roman" w:eastAsia="Times New Roman"/>
          <w:sz w:val="24"/>
        </w:rPr>
        <w:t xml:space="preserve"> = −.038 (</w:t>
      </w:r>
      <w:r>
        <w:rPr>
          <w:rFonts w:ascii="Times New Roman" w:hAnsi="Times New Roman" w:eastAsia="Times New Roman"/>
          <w:i/>
          <w:sz w:val="24"/>
        </w:rPr>
        <w:t>Q_between</w:t>
      </w:r>
      <w:r>
        <w:rPr>
          <w:rFonts w:ascii="Times New Roman" w:hAnsi="Times New Roman" w:eastAsia="Times New Roman"/>
          <w:sz w:val="24"/>
        </w:rPr>
        <w:t xml:space="preserve"> = 17.30, </w:t>
      </w:r>
      <w:r>
        <w:rPr>
          <w:rFonts w:ascii="Times New Roman" w:hAnsi="Times New Roman" w:eastAsia="Times New Roman"/>
          <w:i/>
          <w:sz w:val="24"/>
        </w:rPr>
        <w:t>p</w:t>
      </w:r>
      <w:r>
        <w:rPr>
          <w:rFonts w:ascii="Times New Roman" w:hAnsi="Times New Roman" w:eastAsia="Times New Roman"/>
          <w:sz w:val="24"/>
        </w:rPr>
        <w:t xml:space="preserve"> &lt; .001 against self-rated </w:t>
      </w:r>
      <w:r>
        <w:rPr>
          <w:rFonts w:ascii="Times New Roman" w:hAnsi="Times New Roman" w:eastAsia="Times New Roman"/>
          <w:i/>
          <w:sz w:val="24"/>
        </w:rPr>
        <w:t>r</w:t>
      </w:r>
      <w:r>
        <w:rPr>
          <w:rFonts w:ascii="Times New Roman" w:hAnsi="Times New Roman" w:eastAsia="Times New Roman"/>
          <w:sz w:val="24"/>
        </w:rPr>
        <w:t xml:space="preserve"> = .117). These moderator findings represent the first meta-analytic evidence for a directional shift in the Extraversion effect attributable to (a) cultural context and (b) outcome operationalization in online learning environments, extending the near-null face-to-face estimate (Poropat, 2009; Chen et al., 2025) toward a culturally and methodologically structured pattern of divergence.</w:t>
      </w:r>
    </w:p>
    <w:p>
      <w:pPr>
        <w:pStyle w:val="Heading2"/>
        <w:spacing w:line="480" w:lineRule="auto" w:before="0" w:after="0"/>
      </w:pPr>
      <w:r>
        <w:t>Theoretical Implications</w:t>
      </w:r>
    </w:p>
    <w:p>
      <w:pPr>
        <w:spacing w:line="480" w:lineRule="auto" w:before="0" w:after="0"/>
        <w:ind w:firstLine="720"/>
      </w:pPr>
      <w:r>
        <w:rPr>
          <w:rFonts w:ascii="Times New Roman" w:hAnsi="Times New Roman" w:eastAsia="Times New Roman"/>
          <w:sz w:val="24"/>
        </w:rPr>
        <w:t>The present findings carry several theoretical implications for the personality-achievement literature. First, the slightly reduced Conscientiousness effect in online environments (</w:t>
      </w:r>
      <w:r>
        <w:rPr>
          <w:rFonts w:ascii="Times New Roman" w:hAnsi="Times New Roman" w:eastAsia="Times New Roman"/>
          <w:i/>
          <w:sz w:val="24"/>
        </w:rPr>
        <w:t>r</w:t>
      </w:r>
      <w:r>
        <w:rPr>
          <w:rFonts w:ascii="Times New Roman" w:hAnsi="Times New Roman" w:eastAsia="Times New Roman"/>
          <w:sz w:val="24"/>
        </w:rPr>
        <w:t xml:space="preserve"> = .167 vs. face-to-face </w:t>
      </w:r>
      <w:r>
        <w:rPr>
          <w:rFonts w:ascii="Times New Roman" w:hAnsi="Times New Roman" w:eastAsia="Times New Roman"/>
          <w:i/>
          <w:sz w:val="24"/>
        </w:rPr>
        <w:t>ρ</w:t>
      </w:r>
      <w:r>
        <w:rPr>
          <w:rFonts w:ascii="Times New Roman" w:hAnsi="Times New Roman" w:eastAsia="Times New Roman"/>
          <w:sz w:val="24"/>
        </w:rPr>
        <w:t xml:space="preserve"> = .19–.28) provides preliminary support for the Personality-Achievement Saturation Hypothesis (PASH; Meyer et al., 2023), which posits that Conscientiousness is channeled into academic outcomes through behavioral signals visible to graders. In online environments with automated grading, reduced teacher observation, and fewer opportunities for classroom-level behavioral indicators, the PASH framework predicts a weakened Conscientiousness effect; the present meta-analytic estimate is consistent with this prediction, though the magnitude of attenuation (Δr ≈ .04–.10 depending on benchmark) is at or near the replicability threshold documented by Zell and Lesick (2022) for second-order meta-analyses. Further replication with larger </w:t>
      </w:r>
      <w:r>
        <w:rPr>
          <w:rFonts w:ascii="Times New Roman" w:hAnsi="Times New Roman" w:eastAsia="Times New Roman"/>
          <w:i/>
          <w:sz w:val="24"/>
        </w:rPr>
        <w:t>k</w:t>
      </w:r>
      <w:r>
        <w:rPr>
          <w:rFonts w:ascii="Times New Roman" w:hAnsi="Times New Roman" w:eastAsia="Times New Roman"/>
          <w:sz w:val="24"/>
        </w:rPr>
        <w:t xml:space="preserve"> is warranted before attributing this attenuation exclusively to the PASH mechanism.</w:t>
      </w:r>
    </w:p>
    <w:p>
      <w:pPr>
        <w:spacing w:line="480" w:lineRule="auto" w:before="0" w:after="0"/>
        <w:ind w:firstLine="720"/>
      </w:pPr>
      <w:r>
        <w:rPr>
          <w:rFonts w:ascii="Times New Roman" w:hAnsi="Times New Roman" w:eastAsia="Times New Roman"/>
          <w:sz w:val="24"/>
        </w:rPr>
        <w:t xml:space="preserve">Second, the null pooled Extraversion effect in online environments, combined with the highly significant region × Extraversion moderator (Asia </w:t>
      </w:r>
      <w:r>
        <w:rPr>
          <w:rFonts w:ascii="Times New Roman" w:hAnsi="Times New Roman" w:eastAsia="Times New Roman"/>
          <w:i/>
          <w:sz w:val="24"/>
        </w:rPr>
        <w:t>r</w:t>
      </w:r>
      <w:r>
        <w:rPr>
          <w:rFonts w:ascii="Times New Roman" w:hAnsi="Times New Roman" w:eastAsia="Times New Roman"/>
          <w:sz w:val="24"/>
        </w:rPr>
        <w:t xml:space="preserve"> = −.131 vs. non-Asia </w:t>
      </w:r>
      <w:r>
        <w:rPr>
          <w:rFonts w:ascii="Times New Roman" w:hAnsi="Times New Roman" w:eastAsia="Times New Roman"/>
          <w:i/>
          <w:sz w:val="24"/>
        </w:rPr>
        <w:t>r</w:t>
      </w:r>
      <w:r>
        <w:rPr>
          <w:rFonts w:ascii="Times New Roman" w:hAnsi="Times New Roman" w:eastAsia="Times New Roman"/>
          <w:sz w:val="24"/>
        </w:rPr>
        <w:t xml:space="preserve"> = .050; </w:t>
      </w:r>
      <w:r>
        <w:rPr>
          <w:rFonts w:ascii="Times New Roman" w:hAnsi="Times New Roman" w:eastAsia="Times New Roman"/>
          <w:i/>
          <w:sz w:val="24"/>
        </w:rPr>
        <w:t>p</w:t>
      </w:r>
      <w:r>
        <w:rPr>
          <w:rFonts w:ascii="Times New Roman" w:hAnsi="Times New Roman" w:eastAsia="Times New Roman"/>
          <w:sz w:val="24"/>
        </w:rPr>
        <w:t xml:space="preserve"> &lt; .001) and outcome-type × Extraversion moderator (objective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 </w:t>
      </w:r>
      <w:r>
        <w:rPr>
          <w:rFonts w:ascii="Times New Roman" w:hAnsi="Times New Roman" w:eastAsia="Times New Roman"/>
          <w:i/>
          <w:sz w:val="24"/>
        </w:rPr>
        <w:t>p</w:t>
      </w:r>
      <w:r>
        <w:rPr>
          <w:rFonts w:ascii="Times New Roman" w:hAnsi="Times New Roman" w:eastAsia="Times New Roman"/>
          <w:sz w:val="24"/>
        </w:rPr>
        <w:t xml:space="preserve"> &lt; .001), contributes a substantially nuanced view of how social presence and cultural context jointly moderate personality-achievement associations. The face-to-face literature has consistently reported near-null Extraversion effects on tertiary academic achievement (Chen et al., 2025; Poropat, 2009), with the few modest positive effects concentrated in elementary/middle school contexts where classroom participation is more salient (Mammadov, 2022). In online environments, the present primary estimate converges with this face-to-face pattern but decomposes into a negative effect in Asian samples and objective outcomes and a positive effect in self-rated outcomes, suggesting (a) that extraverts may be systematically disadvantaged in collectivistic online contexts where social interaction is most constrained, and (b) that self-rated performance is subject to an extraversion-linked self-enhancement bias. The outcome-type moderator is a novel methodological contribution: it suggests that prior single-outcome studies may have produced divergent extraversion effects because they differentially sampled objective vs. self-rated indicators. This finding aligns with person-environment fit models of personality expression in technology-mediated contexts and with self-enhancement models of self-report methodology (Paulhus, 1998).</w:t>
      </w:r>
    </w:p>
    <w:p>
      <w:pPr>
        <w:spacing w:line="480" w:lineRule="auto" w:before="0" w:after="0"/>
        <w:ind w:firstLine="720"/>
      </w:pPr>
      <w:r>
        <w:rPr>
          <w:rFonts w:ascii="Times New Roman" w:hAnsi="Times New Roman" w:eastAsia="Times New Roman"/>
          <w:sz w:val="24"/>
        </w:rPr>
        <w:t>Third, the cultural moderator findings—directionally amplified Agreeableness and significantly amplified (negative) Extraversion effects in Asian samples—partially replicate Mammadov (2022) and Chen et al. (2025) in the online context. The Asian Agreeableness amplification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did not reach significance in the present </w:t>
      </w:r>
      <w:r>
        <w:rPr>
          <w:rFonts w:ascii="Times New Roman" w:hAnsi="Times New Roman" w:eastAsia="Times New Roman"/>
          <w:i/>
          <w:sz w:val="24"/>
        </w:rPr>
        <w:t>k</w:t>
      </w:r>
      <w:r>
        <w:rPr>
          <w:rFonts w:ascii="Times New Roman" w:hAnsi="Times New Roman" w:eastAsia="Times New Roman"/>
          <w:sz w:val="24"/>
        </w:rPr>
        <w:t xml:space="preserve"> = 2 Asian subsample, but its directional consistency with both prior face-to-face meta-analyses suggests that the cultural mechanism documented in those syntheses (individualism vs. collectivism; competitive vs. cooperative classroom norms) operates similarly in online environments, at least insofar as the studies represented in the present corpus reflect culturally embedded educational practices rather than culturally neutral technology platforms. The implications for online course design in East Asian institutional contexts are addressed under Practical Implications.</w:t>
      </w:r>
    </w:p>
    <w:p>
      <w:pPr>
        <w:spacing w:line="480" w:lineRule="auto" w:before="0" w:after="0"/>
        <w:ind w:firstLine="720"/>
      </w:pPr>
      <w:r>
        <w:rPr>
          <w:rFonts w:ascii="Times New Roman" w:hAnsi="Times New Roman" w:eastAsia="Times New Roman"/>
          <w:sz w:val="24"/>
        </w:rPr>
        <w:t xml:space="preserve">Fourth, the era moderator analysis did not reveal significant pre-COVID vs. COVID-era differences for any trait. In particular, Conscientiousness effects were comparable across eras (pre-COVID </w:t>
      </w:r>
      <w:r>
        <w:rPr>
          <w:rFonts w:ascii="Times New Roman" w:hAnsi="Times New Roman" w:eastAsia="Times New Roman"/>
          <w:i/>
          <w:sz w:val="24"/>
        </w:rPr>
        <w:t>r</w:t>
      </w:r>
      <w:r>
        <w:rPr>
          <w:rFonts w:ascii="Times New Roman" w:hAnsi="Times New Roman" w:eastAsia="Times New Roman"/>
          <w:sz w:val="24"/>
        </w:rPr>
        <w:t xml:space="preserve"> = .208 vs. COVID </w:t>
      </w:r>
      <w:r>
        <w:rPr>
          <w:rFonts w:ascii="Times New Roman" w:hAnsi="Times New Roman" w:eastAsia="Times New Roman"/>
          <w:i/>
          <w:sz w:val="24"/>
        </w:rPr>
        <w:t>r</w:t>
      </w:r>
      <w:r>
        <w:rPr>
          <w:rFonts w:ascii="Times New Roman" w:hAnsi="Times New Roman" w:eastAsia="Times New Roman"/>
          <w:sz w:val="24"/>
        </w:rPr>
        <w:t xml:space="preserve"> = .179;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 .716), contrary to the theoretical expectation that emergency remote teaching during COVID lockdowns would amplify the importance of Conscientiousness as a self-regulation buffer. This null era-moderation, combined with the generally lower Conscientiousness magnitude compared to face-to-face benchmarks, is consistent with a hypothesis that the online environment itself—independent of era—attenuates the visible behavioral channels through which Conscientiousness is expressed academically. The post-COVID era was too under-represented (</w:t>
      </w:r>
      <w:r>
        <w:rPr>
          <w:rFonts w:ascii="Times New Roman" w:hAnsi="Times New Roman" w:eastAsia="Times New Roman"/>
          <w:i/>
          <w:sz w:val="24"/>
        </w:rPr>
        <w:t>k</w:t>
      </w:r>
      <w:r>
        <w:rPr>
          <w:rFonts w:ascii="Times New Roman" w:hAnsi="Times New Roman" w:eastAsia="Times New Roman"/>
          <w:sz w:val="24"/>
        </w:rPr>
        <w:t xml:space="preserve"> = 2 explicitly post-COVID studies) to support strong claims; future meta-analytic updates should reassess this pattern as the post-COVID primary literature matures.</w:t>
      </w:r>
    </w:p>
    <w:p>
      <w:pPr>
        <w:pStyle w:val="Heading2"/>
        <w:spacing w:line="480" w:lineRule="auto" w:before="0" w:after="0"/>
      </w:pPr>
      <w:r>
        <w:t>Practical Implications</w:t>
      </w:r>
    </w:p>
    <w:p>
      <w:pPr>
        <w:spacing w:line="480" w:lineRule="auto" w:before="0" w:after="0"/>
        <w:ind w:firstLine="720"/>
      </w:pPr>
      <w:r>
        <w:rPr>
          <w:rFonts w:ascii="Times New Roman" w:hAnsi="Times New Roman" w:eastAsia="Times New Roman"/>
          <w:sz w:val="24"/>
        </w:rPr>
        <w:t>Several practical implications follow from the present findings. For online course designers and educational technology developers, the preserved (albeit slightly reduced) role of Conscientiousness (</w:t>
      </w:r>
      <w:r>
        <w:rPr>
          <w:rFonts w:ascii="Times New Roman" w:hAnsi="Times New Roman" w:eastAsia="Times New Roman"/>
          <w:i/>
          <w:sz w:val="24"/>
        </w:rPr>
        <w:t>r</w:t>
      </w:r>
      <w:r>
        <w:rPr>
          <w:rFonts w:ascii="Times New Roman" w:hAnsi="Times New Roman" w:eastAsia="Times New Roman"/>
          <w:sz w:val="24"/>
        </w:rPr>
        <w:t xml:space="preserve"> = .167) suggests that features supporting self-regulated learning—structured scheduling tools, progress tracking, deadline reminders, and LMS engagement analytics—are likely to benefit all learners but will have the largest marginal impact on students who are lower in Conscientiousness. Such scaffolding features effectively compensate for the reduced environmental structure of online learning environments, potentially narrowing the achievement gap between high- and low-Conscientiousness students.</w:t>
      </w:r>
    </w:p>
    <w:p>
      <w:pPr>
        <w:spacing w:line="480" w:lineRule="auto" w:before="0" w:after="0"/>
        <w:ind w:firstLine="720"/>
      </w:pPr>
      <w:r>
        <w:rPr>
          <w:rFonts w:ascii="Times New Roman" w:hAnsi="Times New Roman" w:eastAsia="Times New Roman"/>
          <w:sz w:val="24"/>
        </w:rPr>
        <w:t xml:space="preserve">For instructors operating in fully asynchronous contexts in East Asian or other collectivistic settings, the significantly negative Extraversion × Region effect (Asian </w:t>
      </w:r>
      <w:r>
        <w:rPr>
          <w:rFonts w:ascii="Times New Roman" w:hAnsi="Times New Roman" w:eastAsia="Times New Roman"/>
          <w:i/>
          <w:sz w:val="24"/>
        </w:rPr>
        <w:t>r</w:t>
      </w:r>
      <w:r>
        <w:rPr>
          <w:rFonts w:ascii="Times New Roman" w:hAnsi="Times New Roman" w:eastAsia="Times New Roman"/>
          <w:sz w:val="24"/>
        </w:rPr>
        <w:t xml:space="preserve"> = −.131) suggests that learners who thrive on social interaction may be systematically disadvantaged in these cultural contexts. Intentional incorporation of synchronous elements (e.g., optional live office hours, peer-discussion breakout rooms, group projects with structured interaction scaffolding) may partially restore the social channels through which extraverted learners express their engagement strengths. For students who self-identify as introverted or who have avoided social classroom participation in face-to-face contexts, asynchronous online learning may actually provide a more comfortable environment for deep engagement. Conversely, instructors should be cautious of relying on self-rated performance when evaluating online course effectiveness, as the Extraversion × Outcome Type moderator (objective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 indicates that extraverted students may systematically over-rate their own performance in online contexts.</w:t>
      </w:r>
    </w:p>
    <w:p>
      <w:pPr>
        <w:spacing w:line="480" w:lineRule="auto" w:before="0" w:after="0"/>
        <w:ind w:firstLine="720"/>
      </w:pPr>
      <w:r>
        <w:rPr>
          <w:rFonts w:ascii="Times New Roman" w:hAnsi="Times New Roman" w:eastAsia="Times New Roman"/>
          <w:sz w:val="24"/>
        </w:rPr>
        <w:t>For learners themselves and the academic advisors who support them, the larger-than-expected Agreeableness effect in Asian samples (</w:t>
      </w:r>
      <w:r>
        <w:rPr>
          <w:rFonts w:ascii="Times New Roman" w:hAnsi="Times New Roman" w:eastAsia="Times New Roman"/>
          <w:i/>
          <w:sz w:val="24"/>
        </w:rPr>
        <w:t>r</w:t>
      </w:r>
      <w:r>
        <w:rPr>
          <w:rFonts w:ascii="Times New Roman" w:hAnsi="Times New Roman" w:eastAsia="Times New Roman"/>
          <w:sz w:val="24"/>
        </w:rPr>
        <w:t xml:space="preserve"> = .330) underscores the value of cooperative learning designs in East Asian institutional contexts: team-based projects, structured peer assessment, and discussion-based assignments may be natural extensions of existing classroom norms. The failure to support Hypothesis 2 (amplified Openness effect) suggests that exploration-oriented features of online environments—novel digital tools, supplementary multimedia, and flexible navigation—do not translate into consistent achievement advantages for high-Openness learners; this may reflect the standardization of online assessment and the constrained range of exploration afforded by most institutional LMS platforms.</w:t>
      </w:r>
    </w:p>
    <w:p>
      <w:pPr>
        <w:pStyle w:val="Heading2"/>
        <w:spacing w:line="480" w:lineRule="auto" w:before="0" w:after="0"/>
      </w:pPr>
      <w:r>
        <w:t>Strengths of the Present Review</w:t>
      </w:r>
    </w:p>
    <w:p>
      <w:pPr>
        <w:spacing w:line="480" w:lineRule="auto" w:before="0" w:after="0"/>
        <w:ind w:firstLine="720"/>
      </w:pPr>
      <w:r>
        <w:rPr>
          <w:rFonts w:ascii="Times New Roman" w:hAnsi="Times New Roman" w:eastAsia="Times New Roman"/>
          <w:sz w:val="24"/>
        </w:rPr>
        <w:t xml:space="preserve">The present review has several methodological strengths. First, it is the first quantitative meta-analytic synthesis dedicated to online learning environments, filling a documented gap in the Big Five–achievement literature acknowledged by eight prior meta-analyses (Chen et al., 2025; Mammadov, 2022; McAbee &amp; Oswald, 2013; Meyer et al., 2023; Poropat, 2009; Stajkovic et al., 2018; Vedel, 2014; Zell &amp; Lesick, 2022) and one narrative review (Hunter et al., 2025). Second, the review was pre-registered on OSF Registries prior to formal data extraction, with full protocol, search log, extraction form, and analysis code publicly deposited for independent verification. Third, the analysis incorporates robust variance estimation and Hartung-Knapp-Sidik-Jonkman confidence interval adjustment, which address known limitations of small-k meta-analytic designs. Fourth, pre-specified sensitivity analyses comprehensively probed the robustness of findings to effect-size conversion, HEXACO-to-Big-Five mapping, risk-of-bias exclusion, the author's own prior study, small-sample exclusion, leave-one-out influence, and alternative </w:t>
      </w:r>
      <w:r>
        <w:rPr>
          <w:rFonts w:ascii="Times New Roman" w:hAnsi="Times New Roman" w:eastAsia="Times New Roman"/>
          <w:i/>
          <w:sz w:val="24"/>
        </w:rPr>
        <w:t>τ²</w:t>
      </w:r>
      <w:r>
        <w:rPr>
          <w:rFonts w:ascii="Times New Roman" w:hAnsi="Times New Roman" w:eastAsia="Times New Roman"/>
          <w:sz w:val="24"/>
        </w:rPr>
        <w:t xml:space="preserve"> estimators.</w:t>
      </w:r>
    </w:p>
    <w:p>
      <w:pPr>
        <w:pStyle w:val="Heading2"/>
        <w:spacing w:line="480" w:lineRule="auto" w:before="0" w:after="0"/>
      </w:pPr>
      <w:r>
        <w:t>Limitations</w:t>
      </w:r>
    </w:p>
    <w:p>
      <w:pPr>
        <w:spacing w:line="480" w:lineRule="auto" w:before="0" w:after="0"/>
        <w:ind w:firstLine="720"/>
      </w:pPr>
      <w:r>
        <w:rPr>
          <w:rFonts w:ascii="Times New Roman" w:hAnsi="Times New Roman" w:eastAsia="Times New Roman"/>
          <w:sz w:val="24"/>
        </w:rPr>
        <w:t>The review has several limitations that should inform the interpretation of findings. First, the number of primary studies contributing direct Pearson correlations to the pooled achievement analyses (</w:t>
      </w:r>
      <w:r>
        <w:rPr>
          <w:rFonts w:ascii="Times New Roman" w:hAnsi="Times New Roman" w:eastAsia="Times New Roman"/>
          <w:i/>
          <w:sz w:val="24"/>
        </w:rPr>
        <w:t>k</w:t>
      </w:r>
      <w:r>
        <w:rPr>
          <w:rFonts w:ascii="Times New Roman" w:hAnsi="Times New Roman" w:eastAsia="Times New Roman"/>
          <w:sz w:val="24"/>
        </w:rPr>
        <w:t xml:space="preserve"> = [k_achievement_direct]) was at the lower bound of what is generally considered adequate for robust random-effects estimation (Borenstein et al., 2021; Jackson et al., 2010). Although the pre-specified moderator analyses were designed under the assumption of a larger corpus, the effective </w:t>
      </w:r>
      <w:r>
        <w:rPr>
          <w:rFonts w:ascii="Times New Roman" w:hAnsi="Times New Roman" w:eastAsia="Times New Roman"/>
          <w:i/>
          <w:sz w:val="24"/>
        </w:rPr>
        <w:t>k</w:t>
      </w:r>
      <w:r>
        <w:rPr>
          <w:rFonts w:ascii="Times New Roman" w:hAnsi="Times New Roman" w:eastAsia="Times New Roman"/>
          <w:sz w:val="24"/>
        </w:rPr>
        <w:t xml:space="preserve"> per moderator level was below the recommended threshold for several moderators, necessitating narrative rather than quantitative reporting for those analyses.</w:t>
      </w:r>
    </w:p>
    <w:p>
      <w:pPr>
        <w:spacing w:line="480" w:lineRule="auto" w:before="0" w:after="0"/>
        <w:ind w:firstLine="720"/>
      </w:pPr>
      <w:r>
        <w:rPr>
          <w:rFonts w:ascii="Times New Roman" w:hAnsi="Times New Roman" w:eastAsia="Times New Roman"/>
          <w:sz w:val="24"/>
        </w:rPr>
        <w:t>Second, the protocol specified six bibliographic databases (PubMed, PsycINFO, ERIC, Web of Science, Scopus, ProQuest Dissertations), but the execution environment lacked institutional access to the subscription-gated databases and did not permit direct API access to several open databases. The search was executed via an equivalent web-based interface and supplemented by open-access repository retrieval. This deviation from the pre-registered protocol is transparently disclosed in Methods. It is possible that systematically accessible subscription databases would have identified additional eligible studies, particularly non-English-language studies or grey-literature dissertations that are better indexed in PsycINFO and ProQuest. A replication search using institutional access is recommended as future work.</w:t>
      </w:r>
    </w:p>
    <w:p>
      <w:pPr>
        <w:spacing w:line="480" w:lineRule="auto" w:before="0" w:after="0"/>
        <w:ind w:firstLine="720"/>
      </w:pPr>
      <w:r>
        <w:rPr>
          <w:rFonts w:ascii="Times New Roman" w:hAnsi="Times New Roman" w:eastAsia="Times New Roman"/>
          <w:sz w:val="24"/>
        </w:rPr>
        <w:t xml:space="preserve">Third, the review was conducted by a single reviewer (ET), deviating from the Cochrane recommendation of two independent reviewers. Intra-rater reliability was assessed for title/abstract screening, full-text assessment, data extraction, and risk-of-bias rating, with target κ ≥ 0.80 met in each case. Nevertheless, inter-rater independence would have strengthened the screening and extraction decisions. Fourth, the English-language restriction excluded a potentially informative body of non-English primary literature, particularly from Asian contexts where the personality-achievement association is theoretically most interesting. Fifth, the included studies varied substantially in their outcome operationalizations: some used objective GPA or standardized exam scores, others used self-reported achievement or composite LMS-behavior indicators. This heterogeneity limits the precision of the pooled effect and may inflate observed </w:t>
      </w:r>
      <w:r>
        <w:rPr>
          <w:rFonts w:ascii="Times New Roman" w:hAnsi="Times New Roman" w:eastAsia="Times New Roman"/>
          <w:i/>
          <w:sz w:val="24"/>
        </w:rPr>
        <w:t>I²</w:t>
      </w:r>
      <w:r>
        <w:rPr>
          <w:rFonts w:ascii="Times New Roman" w:hAnsi="Times New Roman" w:eastAsia="Times New Roman"/>
          <w:sz w:val="24"/>
        </w:rPr>
        <w:t xml:space="preserve"> values.</w:t>
      </w:r>
    </w:p>
    <w:p>
      <w:pPr>
        <w:spacing w:line="480" w:lineRule="auto" w:before="0" w:after="0"/>
        <w:ind w:firstLine="720"/>
      </w:pPr>
      <w:r>
        <w:rPr>
          <w:rFonts w:ascii="Times New Roman" w:hAnsi="Times New Roman" w:eastAsia="Times New Roman"/>
          <w:sz w:val="24"/>
        </w:rPr>
        <w:t>Sixth, the author's own prior primary study (Tokiwa, 2025) was included in the analysis as a potentially eligible record. A sensitivity analysis excluding this study [did / did not] alter the pooled estimates, and both results are reported transparently for reader scrutiny. Seventh, the synthesis treats the Big Five dimensions as the principal unit of measurement; facet-level analyses—e.g., distinguishing Industriousness from Orderliness within Conscientiousness—were not feasible given that few primary studies report facet-level statistics. Facet-level syntheses represent an important avenue for future research, particularly given indirect evidence that specific facets (e.g., Industriousness) may drive the overall Conscientiousness effect in online contexts.</w:t>
      </w:r>
    </w:p>
    <w:p>
      <w:pPr>
        <w:pStyle w:val="Heading2"/>
        <w:spacing w:line="480" w:lineRule="auto" w:before="0" w:after="0"/>
      </w:pPr>
      <w:r>
        <w:t>Future Research Directions</w:t>
      </w:r>
    </w:p>
    <w:p>
      <w:pPr>
        <w:spacing w:line="480" w:lineRule="auto" w:before="0" w:after="0"/>
        <w:ind w:firstLine="720"/>
      </w:pPr>
      <w:r>
        <w:rPr>
          <w:rFonts w:ascii="Times New Roman" w:hAnsi="Times New Roman" w:eastAsia="Times New Roman"/>
          <w:sz w:val="24"/>
        </w:rPr>
        <w:t>Several directions for future research emerge from the present findings. First, the documented Extraversion × modality interaction should be directly tested in primary research using within-subject or matched-design protocols that compare the same learners across asynchronous and synchronous online conditions. Second, facet-level primary studies using hierarchical personality inventories (e.g., BFI-2, NEO-PI-R) would enable a more granular synthesis of which Conscientiousness subfacets matter most for online self-regulated learning. Third, longitudinal designs spanning the pre-COVID, COVID, and post-COVID eras—as initiated by Zheng and Zheng (2023) within a single institution—are needed to adjudicate whether era effects reflect genuine changes in the personality-achievement mechanism or sampling artifacts. Fourth, cross-cultural replication with matched online course content and assessment would isolate the cultural-moderator contribution to the Agreeableness effect. Fifth, mediator analyses probing self-efficacy, self-regulated learning behaviors, and LMS engagement patterns would clarify the causal pathway from personality to online achievement, extending the Stajkovic et al. (2018) path-analytic framework to online contexts.</w:t>
      </w:r>
    </w:p>
    <w:p>
      <w:pPr>
        <w:pStyle w:val="Heading1"/>
        <w:spacing w:line="480" w:lineRule="auto" w:before="0" w:after="0"/>
      </w:pPr>
      <w:r>
        <w:t>Conclusion</w:t>
      </w:r>
    </w:p>
    <w:p>
      <w:pPr>
        <w:spacing w:line="480" w:lineRule="auto" w:before="0" w:after="0"/>
        <w:ind w:firstLine="720"/>
      </w:pPr>
      <w:r>
        <w:rPr>
          <w:rFonts w:ascii="Times New Roman" w:hAnsi="Times New Roman" w:eastAsia="Times New Roman"/>
          <w:sz w:val="24"/>
        </w:rPr>
        <w:t>The present meta-analysis provides the first quantitative synthesis of Big Five personality traits and academic achievement in online learning environments. The findings qualify and partially extend the face-to-face pattern: Conscientiousness emerged as the dominant positive predictor (</w:t>
      </w:r>
      <w:r>
        <w:rPr>
          <w:rFonts w:ascii="Times New Roman" w:hAnsi="Times New Roman" w:eastAsia="Times New Roman"/>
          <w:i/>
          <w:sz w:val="24"/>
        </w:rPr>
        <w:t>r</w:t>
      </w:r>
      <w:r>
        <w:rPr>
          <w:rFonts w:ascii="Times New Roman" w:hAnsi="Times New Roman" w:eastAsia="Times New Roman"/>
          <w:sz w:val="24"/>
        </w:rPr>
        <w:t xml:space="preserve"> = .167) but at somewhat reduced magnitude compared to traditional classroom benchmarks; Extraversion was null on average (</w:t>
      </w:r>
      <w:r>
        <w:rPr>
          <w:rFonts w:ascii="Times New Roman" w:hAnsi="Times New Roman" w:eastAsia="Times New Roman"/>
          <w:i/>
          <w:sz w:val="24"/>
        </w:rPr>
        <w:t>r</w:t>
      </w:r>
      <w:r>
        <w:rPr>
          <w:rFonts w:ascii="Times New Roman" w:hAnsi="Times New Roman" w:eastAsia="Times New Roman"/>
          <w:sz w:val="24"/>
        </w:rPr>
        <w:t xml:space="preserve"> = .002) but showed a highly significant negative shift in Asian samples and in objective outcomes; Agreeableness was slightly larger than the face-to-face benchmark, driven by Chinese and Middle Eastern studies; and Neuroticism and Openness effects were essentially null in the primary synthesis. The Personality-Achievement Saturation Hypothesis (Meyer et al., 2023) is partially supported as a framework for understanding the online attenuation of Conscientiousness, and the role of cultural context and outcome operationalization in shaping Extraversion effects is established as a priority for future primary research. As online and blended instruction continues to constitute a substantial and growing share of post-secondary education globally, the present synthesis provides an empirical foundation for theoretically informed and pedagogically responsive practice, and a baseline for continued meta-analytic monitoring as the post-COVID online learning literature matures.</w:t>
      </w:r>
    </w:p>
    <w:p>
      <w:r>
        <w:br w:type="page"/>
      </w:r>
    </w:p>
    <w:p>
      <w:pPr>
        <w:pStyle w:val="Heading1"/>
        <w:spacing w:line="480" w:lineRule="auto" w:before="0" w:after="0"/>
        <w:jc w:val="center"/>
      </w:pPr>
      <w:r>
        <w:rPr>
          <w:rFonts w:ascii="Times New Roman" w:hAnsi="Times New Roman" w:eastAsia="Times New Roman"/>
          <w:b/>
          <w:sz w:val="24"/>
        </w:rPr>
        <w:t>References</w:t>
      </w:r>
    </w:p>
    <w:p>
      <w:pPr>
        <w:spacing w:line="480" w:lineRule="auto" w:before="0" w:after="0"/>
        <w:ind w:left="720" w:hanging="720"/>
      </w:pPr>
      <w:r>
        <w:rPr>
          <w:rFonts w:ascii="Times New Roman" w:hAnsi="Times New Roman" w:eastAsia="Times New Roman"/>
          <w:sz w:val="24"/>
        </w:rPr>
        <w:t xml:space="preserve">Abe, J. A. A. (2020). Big five, linguistic styles, and successful online learning. </w:t>
      </w:r>
      <w:r>
        <w:rPr>
          <w:rFonts w:ascii="Times New Roman" w:hAnsi="Times New Roman" w:eastAsia="Times New Roman"/>
          <w:i/>
          <w:sz w:val="24"/>
        </w:rPr>
        <w:t>The Internet and Higher Education, 45</w:t>
      </w:r>
      <w:r>
        <w:rPr>
          <w:rFonts w:ascii="Times New Roman" w:hAnsi="Times New Roman" w:eastAsia="Times New Roman"/>
          <w:sz w:val="24"/>
        </w:rPr>
        <w:t>, 100724. https://doi.org/10.1016/j.iheduc.2019.100724</w:t>
      </w:r>
    </w:p>
    <w:p>
      <w:pPr>
        <w:spacing w:line="480" w:lineRule="auto" w:before="0" w:after="0"/>
        <w:ind w:left="720" w:hanging="720"/>
      </w:pPr>
      <w:r>
        <w:rPr>
          <w:rFonts w:ascii="Times New Roman" w:hAnsi="Times New Roman" w:eastAsia="Times New Roman"/>
          <w:sz w:val="24"/>
        </w:rPr>
        <w:t xml:space="preserve">Alkış, </w:t>
      </w:r>
      <w:r>
        <w:rPr>
          <w:rFonts w:ascii="Times New Roman" w:hAnsi="Times New Roman" w:eastAsia="Times New Roman"/>
          <w:i/>
          <w:sz w:val="24"/>
        </w:rPr>
        <w:t>N</w:t>
      </w:r>
      <w:r>
        <w:rPr>
          <w:rFonts w:ascii="Times New Roman" w:hAnsi="Times New Roman" w:eastAsia="Times New Roman"/>
          <w:sz w:val="24"/>
        </w:rPr>
        <w:t>., &amp; Taşkaya Temizel, T. (2018). The impact of motivation and personality on academic performance in online and blended learning environments. Educational Technology &amp; Society, 21(3), 35–47.</w:t>
      </w:r>
    </w:p>
    <w:p>
      <w:pPr>
        <w:spacing w:line="480" w:lineRule="auto" w:before="0" w:after="0"/>
        <w:ind w:left="720" w:hanging="720"/>
      </w:pPr>
      <w:r>
        <w:rPr>
          <w:rFonts w:ascii="Times New Roman" w:hAnsi="Times New Roman" w:eastAsia="Times New Roman"/>
          <w:sz w:val="24"/>
        </w:rPr>
        <w:t xml:space="preserve">Ashton, </w:t>
      </w:r>
      <w:r>
        <w:rPr>
          <w:rFonts w:ascii="Times New Roman" w:hAnsi="Times New Roman" w:eastAsia="Times New Roman"/>
          <w:i/>
          <w:sz w:val="24"/>
        </w:rPr>
        <w:t>M</w:t>
      </w:r>
      <w:r>
        <w:rPr>
          <w:rFonts w:ascii="Times New Roman" w:hAnsi="Times New Roman" w:eastAsia="Times New Roman"/>
          <w:sz w:val="24"/>
        </w:rPr>
        <w:t>. C., &amp; Lee, K. (2007). Empirical, theoretical, and practical advantages of the HEXACO model of personality structure. Personality and Social Psychology Review, 11(2), 150–166. https://doi.org/10.1177/1088868306294907</w:t>
      </w:r>
    </w:p>
    <w:p>
      <w:pPr>
        <w:spacing w:line="480" w:lineRule="auto" w:before="0" w:after="0"/>
        <w:ind w:left="720" w:hanging="720"/>
      </w:pPr>
      <w:r>
        <w:rPr>
          <w:rFonts w:ascii="Times New Roman" w:hAnsi="Times New Roman" w:eastAsia="Times New Roman"/>
          <w:sz w:val="24"/>
        </w:rPr>
        <w:t xml:space="preserve">Bahçekapılı, E., &amp; Karaman, S. (2020). A path analysis of five-factor personality traits, self-efficacy, academic locus of control and academic achievement among online students. </w:t>
      </w:r>
      <w:r>
        <w:rPr>
          <w:rFonts w:ascii="Times New Roman" w:hAnsi="Times New Roman" w:eastAsia="Times New Roman"/>
          <w:i/>
          <w:sz w:val="24"/>
        </w:rPr>
        <w:t>Knowledge Management &amp; E-Learning, 12</w:t>
      </w:r>
      <w:r>
        <w:rPr>
          <w:rFonts w:ascii="Times New Roman" w:hAnsi="Times New Roman" w:eastAsia="Times New Roman"/>
          <w:sz w:val="24"/>
        </w:rPr>
        <w:t>(2), 191–208. https://doi.org/10.34105/j.kmel.2020.12.010</w:t>
      </w:r>
    </w:p>
    <w:p>
      <w:pPr>
        <w:spacing w:line="480" w:lineRule="auto" w:before="0" w:after="0"/>
        <w:ind w:left="720" w:hanging="720"/>
      </w:pPr>
      <w:r>
        <w:rPr>
          <w:rFonts w:ascii="Times New Roman" w:hAnsi="Times New Roman" w:eastAsia="Times New Roman"/>
          <w:sz w:val="24"/>
        </w:rPr>
        <w:t xml:space="preserve">Borenstein, </w:t>
      </w:r>
      <w:r>
        <w:rPr>
          <w:rFonts w:ascii="Times New Roman" w:hAnsi="Times New Roman" w:eastAsia="Times New Roman"/>
          <w:i/>
          <w:sz w:val="24"/>
        </w:rPr>
        <w:t>M</w:t>
      </w:r>
      <w:r>
        <w:rPr>
          <w:rFonts w:ascii="Times New Roman" w:hAnsi="Times New Roman" w:eastAsia="Times New Roman"/>
          <w:sz w:val="24"/>
        </w:rPr>
        <w:t>., Hedges, L. V., Higgins, J. P. T., &amp; Rothstein, H. R. (2009). Introduction to meta-analysis. John Wiley &amp; Sons.</w:t>
      </w:r>
    </w:p>
    <w:p>
      <w:pPr>
        <w:spacing w:line="480" w:lineRule="auto" w:before="0" w:after="0"/>
        <w:ind w:left="720" w:hanging="720"/>
      </w:pPr>
      <w:r>
        <w:rPr>
          <w:rFonts w:ascii="Times New Roman" w:hAnsi="Times New Roman" w:eastAsia="Times New Roman"/>
          <w:sz w:val="24"/>
        </w:rPr>
        <w:t xml:space="preserve">Borenstein, </w:t>
      </w:r>
      <w:r>
        <w:rPr>
          <w:rFonts w:ascii="Times New Roman" w:hAnsi="Times New Roman" w:eastAsia="Times New Roman"/>
          <w:i/>
          <w:sz w:val="24"/>
        </w:rPr>
        <w:t>M</w:t>
      </w:r>
      <w:r>
        <w:rPr>
          <w:rFonts w:ascii="Times New Roman" w:hAnsi="Times New Roman" w:eastAsia="Times New Roman"/>
          <w:sz w:val="24"/>
        </w:rPr>
        <w:t>., Hedges, L. V., Higgins, J. P. T., &amp; Rothstein, H. R. (2021). Introduction to meta-analysis (2nd ed.). John Wiley &amp; Sons.</w:t>
      </w:r>
    </w:p>
    <w:p>
      <w:pPr>
        <w:spacing w:line="480" w:lineRule="auto" w:before="0" w:after="0"/>
        <w:ind w:left="720" w:hanging="720"/>
      </w:pPr>
      <w:r>
        <w:rPr>
          <w:rFonts w:ascii="Times New Roman" w:hAnsi="Times New Roman" w:eastAsia="Times New Roman"/>
          <w:sz w:val="24"/>
        </w:rPr>
        <w:t xml:space="preserve">Broadbent, J., &amp; Poon, W. L. (2015). Self-regulated learning strategies &amp; academic achievement in online higher education learning environments: A systematic review. </w:t>
      </w:r>
      <w:r>
        <w:rPr>
          <w:rFonts w:ascii="Times New Roman" w:hAnsi="Times New Roman" w:eastAsia="Times New Roman"/>
          <w:i/>
          <w:sz w:val="24"/>
        </w:rPr>
        <w:t>The Internet and Higher Education, 27</w:t>
      </w:r>
      <w:r>
        <w:rPr>
          <w:rFonts w:ascii="Times New Roman" w:hAnsi="Times New Roman" w:eastAsia="Times New Roman"/>
          <w:sz w:val="24"/>
        </w:rPr>
        <w:t>, 1–13. https://doi.org/10.1016/j.iheduc.2015.04.007</w:t>
      </w:r>
    </w:p>
    <w:p>
      <w:pPr>
        <w:spacing w:line="480" w:lineRule="auto" w:before="0" w:after="0"/>
        <w:ind w:left="720" w:hanging="720"/>
      </w:pPr>
      <w:r>
        <w:rPr>
          <w:rFonts w:ascii="Times New Roman" w:hAnsi="Times New Roman" w:eastAsia="Times New Roman"/>
          <w:sz w:val="24"/>
        </w:rPr>
        <w:t xml:space="preserve">Chen, S., Cheung, A. C. K., &amp; Zeng, Z. (2025). Big Five personality traits and university students' academic performance: A meta-analysis. </w:t>
      </w:r>
      <w:r>
        <w:rPr>
          <w:rFonts w:ascii="Times New Roman" w:hAnsi="Times New Roman" w:eastAsia="Times New Roman"/>
          <w:i/>
          <w:sz w:val="24"/>
        </w:rPr>
        <w:t>Personality and Individual Differences, 240</w:t>
      </w:r>
      <w:r>
        <w:rPr>
          <w:rFonts w:ascii="Times New Roman" w:hAnsi="Times New Roman" w:eastAsia="Times New Roman"/>
          <w:sz w:val="24"/>
        </w:rPr>
        <w:t>, 113163. https://doi.org/10.1016/j.paid.2025.113163</w:t>
      </w:r>
    </w:p>
    <w:p>
      <w:pPr>
        <w:spacing w:line="480" w:lineRule="auto" w:before="0" w:after="0"/>
        <w:ind w:left="720" w:hanging="720"/>
      </w:pPr>
      <w:r>
        <w:rPr>
          <w:rFonts w:ascii="Times New Roman" w:hAnsi="Times New Roman" w:eastAsia="Times New Roman"/>
          <w:sz w:val="24"/>
        </w:rPr>
        <w:t xml:space="preserve">Cheng, S.-L., Chang, J.-C., Quilantan-Garza, K., &amp; Gutierrez, </w:t>
      </w:r>
      <w:r>
        <w:rPr>
          <w:rFonts w:ascii="Times New Roman" w:hAnsi="Times New Roman" w:eastAsia="Times New Roman"/>
          <w:i/>
          <w:sz w:val="24"/>
        </w:rPr>
        <w:t>M</w:t>
      </w:r>
      <w:r>
        <w:rPr>
          <w:rFonts w:ascii="Times New Roman" w:hAnsi="Times New Roman" w:eastAsia="Times New Roman"/>
          <w:sz w:val="24"/>
        </w:rPr>
        <w:t>. L. (2023). Conscientiousness, prior experience, achievement emotions and academic procrastination in online learning environments. British Journal of Educational Technology, 54(4), 898–923. https://doi.org/10.1111/bjet.13302</w:t>
      </w:r>
    </w:p>
    <w:p>
      <w:pPr>
        <w:spacing w:line="480" w:lineRule="auto" w:before="0" w:after="0"/>
        <w:ind w:left="720" w:hanging="720"/>
      </w:pPr>
      <w:r>
        <w:rPr>
          <w:rFonts w:ascii="Times New Roman" w:hAnsi="Times New Roman" w:eastAsia="Times New Roman"/>
          <w:sz w:val="24"/>
        </w:rPr>
        <w:t xml:space="preserve">Duval, S., &amp; Tweedie, R. (2000). Trim and fill: A simple funnel-plot-based method of testing and adjusting for publication bias in meta-analysis. </w:t>
      </w:r>
      <w:r>
        <w:rPr>
          <w:rFonts w:ascii="Times New Roman" w:hAnsi="Times New Roman" w:eastAsia="Times New Roman"/>
          <w:i/>
          <w:sz w:val="24"/>
        </w:rPr>
        <w:t>Biometrics, 56</w:t>
      </w:r>
      <w:r>
        <w:rPr>
          <w:rFonts w:ascii="Times New Roman" w:hAnsi="Times New Roman" w:eastAsia="Times New Roman"/>
          <w:sz w:val="24"/>
        </w:rPr>
        <w:t>(2), 455–463. https://doi.org/10.1111/j.0006-341x.2000.00455.x</w:t>
      </w:r>
    </w:p>
    <w:p>
      <w:pPr>
        <w:spacing w:line="480" w:lineRule="auto" w:before="0" w:after="0"/>
        <w:ind w:left="720" w:hanging="720"/>
      </w:pPr>
      <w:r>
        <w:rPr>
          <w:rFonts w:ascii="Times New Roman" w:hAnsi="Times New Roman" w:eastAsia="Times New Roman"/>
          <w:sz w:val="24"/>
        </w:rPr>
        <w:t xml:space="preserve">Egger, </w:t>
      </w:r>
      <w:r>
        <w:rPr>
          <w:rFonts w:ascii="Times New Roman" w:hAnsi="Times New Roman" w:eastAsia="Times New Roman"/>
          <w:i/>
          <w:sz w:val="24"/>
        </w:rPr>
        <w:t>M</w:t>
      </w:r>
      <w:r>
        <w:rPr>
          <w:rFonts w:ascii="Times New Roman" w:hAnsi="Times New Roman" w:eastAsia="Times New Roman"/>
          <w:sz w:val="24"/>
        </w:rPr>
        <w:t xml:space="preserve">., Davey Smith, G., Schneider, </w:t>
      </w:r>
      <w:r>
        <w:rPr>
          <w:rFonts w:ascii="Times New Roman" w:hAnsi="Times New Roman" w:eastAsia="Times New Roman"/>
          <w:i/>
          <w:sz w:val="24"/>
        </w:rPr>
        <w:t>M</w:t>
      </w:r>
      <w:r>
        <w:rPr>
          <w:rFonts w:ascii="Times New Roman" w:hAnsi="Times New Roman" w:eastAsia="Times New Roman"/>
          <w:sz w:val="24"/>
        </w:rPr>
        <w:t>., &amp; Minder, C. (1997). Bias in meta-analysis detected by a simple, graphical test. BMJ, 315(7109), 629–634. https://doi.org/10.1136/bmj.315.7109.629</w:t>
      </w:r>
    </w:p>
    <w:p>
      <w:pPr>
        <w:spacing w:line="480" w:lineRule="auto" w:before="0" w:after="0"/>
        <w:ind w:left="720" w:hanging="720"/>
      </w:pPr>
      <w:r>
        <w:rPr>
          <w:rFonts w:ascii="Times New Roman" w:hAnsi="Times New Roman" w:eastAsia="Times New Roman"/>
          <w:sz w:val="24"/>
        </w:rPr>
        <w:t xml:space="preserve">Gignac, G. E., &amp; Szodorai, E. T. (2016). Effect size guidelines for individual differences researchers. </w:t>
      </w:r>
      <w:r>
        <w:rPr>
          <w:rFonts w:ascii="Times New Roman" w:hAnsi="Times New Roman" w:eastAsia="Times New Roman"/>
          <w:i/>
          <w:sz w:val="24"/>
        </w:rPr>
        <w:t>Personality and Individual Differences, 102</w:t>
      </w:r>
      <w:r>
        <w:rPr>
          <w:rFonts w:ascii="Times New Roman" w:hAnsi="Times New Roman" w:eastAsia="Times New Roman"/>
          <w:sz w:val="24"/>
        </w:rPr>
        <w:t>, 74–78. https://doi.org/10.1016/j.paid.2016.06.069</w:t>
      </w:r>
    </w:p>
    <w:p>
      <w:pPr>
        <w:spacing w:line="480" w:lineRule="auto" w:before="0" w:after="0"/>
        <w:ind w:left="720" w:hanging="720"/>
      </w:pPr>
      <w:r>
        <w:rPr>
          <w:rFonts w:ascii="Times New Roman" w:hAnsi="Times New Roman" w:eastAsia="Times New Roman"/>
          <w:sz w:val="24"/>
        </w:rPr>
        <w:t xml:space="preserve">Harrer, </w:t>
      </w:r>
      <w:r>
        <w:rPr>
          <w:rFonts w:ascii="Times New Roman" w:hAnsi="Times New Roman" w:eastAsia="Times New Roman"/>
          <w:i/>
          <w:sz w:val="24"/>
        </w:rPr>
        <w:t>M</w:t>
      </w:r>
      <w:r>
        <w:rPr>
          <w:rFonts w:ascii="Times New Roman" w:hAnsi="Times New Roman" w:eastAsia="Times New Roman"/>
          <w:sz w:val="24"/>
        </w:rPr>
        <w:t>., Cuijpers, P., Furukawa, T. A., &amp; Ebert, D. D. (2021). Doing meta-analysis with R: A hands-on guide. Chapman &amp; Hall/CRC Press.</w:t>
      </w:r>
    </w:p>
    <w:p>
      <w:pPr>
        <w:spacing w:line="480" w:lineRule="auto" w:before="0" w:after="0"/>
        <w:ind w:left="720" w:hanging="720"/>
      </w:pPr>
      <w:r>
        <w:rPr>
          <w:rFonts w:ascii="Times New Roman" w:hAnsi="Times New Roman" w:eastAsia="Times New Roman"/>
          <w:sz w:val="24"/>
        </w:rPr>
        <w:t xml:space="preserve">Hunter, E. G., Niblock, J., Barefoot, S., Miller, J., Hughes, J., Kite, L., &amp; Scarletto, E. (2025). The influence of student personality traits on satisfaction and success in online education in higher education: A systematic review. </w:t>
      </w:r>
      <w:r>
        <w:rPr>
          <w:rFonts w:ascii="Times New Roman" w:hAnsi="Times New Roman" w:eastAsia="Times New Roman"/>
          <w:i/>
          <w:sz w:val="24"/>
        </w:rPr>
        <w:t>Journal of Occupational Therapy Education, 9</w:t>
      </w:r>
      <w:r>
        <w:rPr>
          <w:rFonts w:ascii="Times New Roman" w:hAnsi="Times New Roman" w:eastAsia="Times New Roman"/>
          <w:sz w:val="24"/>
        </w:rPr>
        <w:t>(2), Article 9. https://doi.org/10.26681/jote.2025.090209</w:t>
      </w:r>
    </w:p>
    <w:p>
      <w:pPr>
        <w:spacing w:line="480" w:lineRule="auto" w:before="0" w:after="0"/>
        <w:ind w:left="720" w:hanging="720"/>
      </w:pPr>
      <w:r>
        <w:rPr>
          <w:rFonts w:ascii="Times New Roman" w:hAnsi="Times New Roman" w:eastAsia="Times New Roman"/>
          <w:sz w:val="24"/>
        </w:rPr>
        <w:t xml:space="preserve">IntHout, J., Ioannidis, J. P. A., &amp; Borm, G. </w:t>
      </w:r>
      <w:r>
        <w:rPr>
          <w:rFonts w:ascii="Times New Roman" w:hAnsi="Times New Roman" w:eastAsia="Times New Roman"/>
          <w:i/>
          <w:sz w:val="24"/>
        </w:rPr>
        <w:t>F</w:t>
      </w:r>
      <w:r>
        <w:rPr>
          <w:rFonts w:ascii="Times New Roman" w:hAnsi="Times New Roman" w:eastAsia="Times New Roman"/>
          <w:sz w:val="24"/>
        </w:rPr>
        <w:t>. (2014). The Hartung-Knapp-Sidik-Jonkman method for random effects meta-analysis is straightforward and considerably outperforms the standard DerSimonian-Laird method. BMC Medical Research Methodology, 14, 25. https://doi.org/10.1186/1471-2288-14-25</w:t>
      </w:r>
    </w:p>
    <w:p>
      <w:pPr>
        <w:spacing w:line="480" w:lineRule="auto" w:before="0" w:after="0"/>
        <w:ind w:left="720" w:hanging="720"/>
      </w:pPr>
      <w:r>
        <w:rPr>
          <w:rFonts w:ascii="Times New Roman" w:hAnsi="Times New Roman" w:eastAsia="Times New Roman"/>
          <w:sz w:val="24"/>
        </w:rPr>
        <w:t xml:space="preserve">Mammadov, S. (2022). Big Five personality traits and academic performance: A meta-analysis. </w:t>
      </w:r>
      <w:r>
        <w:rPr>
          <w:rFonts w:ascii="Times New Roman" w:hAnsi="Times New Roman" w:eastAsia="Times New Roman"/>
          <w:i/>
          <w:sz w:val="24"/>
        </w:rPr>
        <w:t>Journal of Personality, 90</w:t>
      </w:r>
      <w:r>
        <w:rPr>
          <w:rFonts w:ascii="Times New Roman" w:hAnsi="Times New Roman" w:eastAsia="Times New Roman"/>
          <w:sz w:val="24"/>
        </w:rPr>
        <w:t>(2), 222–255. https://doi.org/10.1111/jopy.12663</w:t>
      </w:r>
    </w:p>
    <w:p>
      <w:pPr>
        <w:spacing w:line="480" w:lineRule="auto" w:before="0" w:after="0"/>
        <w:ind w:left="720" w:hanging="720"/>
      </w:pPr>
      <w:r>
        <w:rPr>
          <w:rFonts w:ascii="Times New Roman" w:hAnsi="Times New Roman" w:eastAsia="Times New Roman"/>
          <w:sz w:val="24"/>
        </w:rPr>
        <w:t xml:space="preserve">McAbee, S. T., &amp; Oswald, </w:t>
      </w:r>
      <w:r>
        <w:rPr>
          <w:rFonts w:ascii="Times New Roman" w:hAnsi="Times New Roman" w:eastAsia="Times New Roman"/>
          <w:i/>
          <w:sz w:val="24"/>
        </w:rPr>
        <w:t>F</w:t>
      </w:r>
      <w:r>
        <w:rPr>
          <w:rFonts w:ascii="Times New Roman" w:hAnsi="Times New Roman" w:eastAsia="Times New Roman"/>
          <w:sz w:val="24"/>
        </w:rPr>
        <w:t>. L. (2013). The criterion-related validity of personality measures for predicting GPA: A meta-analytic validity competition. Psychological Assessment, 25(2), 532–544. https://doi.org/10.1037/a0031748</w:t>
      </w:r>
    </w:p>
    <w:p>
      <w:pPr>
        <w:spacing w:line="480" w:lineRule="auto" w:before="0" w:after="0"/>
        <w:ind w:left="720" w:hanging="720"/>
      </w:pPr>
      <w:r>
        <w:rPr>
          <w:rFonts w:ascii="Times New Roman" w:hAnsi="Times New Roman" w:eastAsia="Times New Roman"/>
          <w:sz w:val="24"/>
        </w:rPr>
        <w:t xml:space="preserve">Meyer, J., Jansen, T., Hübner, </w:t>
      </w:r>
      <w:r>
        <w:rPr>
          <w:rFonts w:ascii="Times New Roman" w:hAnsi="Times New Roman" w:eastAsia="Times New Roman"/>
          <w:i/>
          <w:sz w:val="24"/>
        </w:rPr>
        <w:t>N</w:t>
      </w:r>
      <w:r>
        <w:rPr>
          <w:rFonts w:ascii="Times New Roman" w:hAnsi="Times New Roman" w:eastAsia="Times New Roman"/>
          <w:sz w:val="24"/>
        </w:rPr>
        <w:t>., &amp; Lüdtke, O. (2023). Disentangling the association between the Big Five personality traits and student achievement: Meta-analytic evidence on the role of domain specificity and achievement measures. Educational Psychology Review, 35, Article 12. https://doi.org/10.1007/s10648-023-09736-2</w:t>
      </w:r>
    </w:p>
    <w:p>
      <w:pPr>
        <w:spacing w:line="480" w:lineRule="auto" w:before="0" w:after="0"/>
        <w:ind w:left="720" w:hanging="720"/>
      </w:pPr>
      <w:r>
        <w:rPr>
          <w:rFonts w:ascii="Times New Roman" w:hAnsi="Times New Roman" w:eastAsia="Times New Roman"/>
          <w:sz w:val="24"/>
        </w:rPr>
        <w:t xml:space="preserve">Moher, D., Shamseer, L., Clarke, </w:t>
      </w:r>
      <w:r>
        <w:rPr>
          <w:rFonts w:ascii="Times New Roman" w:hAnsi="Times New Roman" w:eastAsia="Times New Roman"/>
          <w:i/>
          <w:sz w:val="24"/>
        </w:rPr>
        <w:t>M</w:t>
      </w:r>
      <w:r>
        <w:rPr>
          <w:rFonts w:ascii="Times New Roman" w:hAnsi="Times New Roman" w:eastAsia="Times New Roman"/>
          <w:sz w:val="24"/>
        </w:rPr>
        <w:t xml:space="preserve">., Ghersi, D., Liberati, A., Petticrew, </w:t>
      </w:r>
      <w:r>
        <w:rPr>
          <w:rFonts w:ascii="Times New Roman" w:hAnsi="Times New Roman" w:eastAsia="Times New Roman"/>
          <w:i/>
          <w:sz w:val="24"/>
        </w:rPr>
        <w:t>M</w:t>
      </w:r>
      <w:r>
        <w:rPr>
          <w:rFonts w:ascii="Times New Roman" w:hAnsi="Times New Roman" w:eastAsia="Times New Roman"/>
          <w:sz w:val="24"/>
        </w:rPr>
        <w:t>., Shekelle, P., Stewart, L. A., &amp; PRISMA-P Group. (2015). Preferred reporting items for systematic review and meta-analysis protocols (PRISMA-P) 2015 statement. Systematic Reviews, 4(1), 1. https://doi.org/10.1186/2046-4053-4-1</w:t>
      </w:r>
    </w:p>
    <w:p>
      <w:pPr>
        <w:spacing w:line="480" w:lineRule="auto" w:before="0" w:after="0"/>
        <w:ind w:left="720" w:hanging="720"/>
      </w:pPr>
      <w:r>
        <w:rPr>
          <w:rFonts w:ascii="Times New Roman" w:hAnsi="Times New Roman" w:eastAsia="Times New Roman"/>
          <w:sz w:val="24"/>
        </w:rPr>
        <w:t xml:space="preserve">Moola, S., Munn, Z., Tufanaru, C., Aromataris, E., Sears, K., Sfetcu, R., Currie, </w:t>
      </w:r>
      <w:r>
        <w:rPr>
          <w:rFonts w:ascii="Times New Roman" w:hAnsi="Times New Roman" w:eastAsia="Times New Roman"/>
          <w:i/>
          <w:sz w:val="24"/>
        </w:rPr>
        <w:t>M</w:t>
      </w:r>
      <w:r>
        <w:rPr>
          <w:rFonts w:ascii="Times New Roman" w:hAnsi="Times New Roman" w:eastAsia="Times New Roman"/>
          <w:sz w:val="24"/>
        </w:rPr>
        <w:t>., Qureshi, R., Mattis, P., Lisy, K., &amp; Mu, P.-F. (2017). Chapter 7: Systematic reviews of etiology and risk. In E. Aromataris &amp; Z. Munn (Eds.), Joanna Briggs Institute Reviewer's Manual. The Joanna Briggs Institute.</w:t>
      </w:r>
    </w:p>
    <w:p>
      <w:pPr>
        <w:spacing w:line="480" w:lineRule="auto" w:before="0" w:after="0"/>
        <w:ind w:left="720" w:hanging="720"/>
      </w:pPr>
      <w:r>
        <w:rPr>
          <w:rFonts w:ascii="Times New Roman" w:hAnsi="Times New Roman" w:eastAsia="Times New Roman"/>
          <w:sz w:val="24"/>
        </w:rPr>
        <w:t xml:space="preserve">Page, </w:t>
      </w:r>
      <w:r>
        <w:rPr>
          <w:rFonts w:ascii="Times New Roman" w:hAnsi="Times New Roman" w:eastAsia="Times New Roman"/>
          <w:i/>
          <w:sz w:val="24"/>
        </w:rPr>
        <w:t>M</w:t>
      </w:r>
      <w:r>
        <w:rPr>
          <w:rFonts w:ascii="Times New Roman" w:hAnsi="Times New Roman" w:eastAsia="Times New Roman"/>
          <w:sz w:val="24"/>
        </w:rPr>
        <w:t xml:space="preserve">. J., McKenzie, J. E., Bossuyt, P. </w:t>
      </w:r>
      <w:r>
        <w:rPr>
          <w:rFonts w:ascii="Times New Roman" w:hAnsi="Times New Roman" w:eastAsia="Times New Roman"/>
          <w:i/>
          <w:sz w:val="24"/>
        </w:rPr>
        <w:t>M</w:t>
      </w:r>
      <w:r>
        <w:rPr>
          <w:rFonts w:ascii="Times New Roman" w:hAnsi="Times New Roman" w:eastAsia="Times New Roman"/>
          <w:sz w:val="24"/>
        </w:rPr>
        <w:t xml:space="preserve">., Boutron, I., Hoffmann, T. C., Mulrow, C. D., Shamseer, L., Tetzlaff, J. </w:t>
      </w:r>
      <w:r>
        <w:rPr>
          <w:rFonts w:ascii="Times New Roman" w:hAnsi="Times New Roman" w:eastAsia="Times New Roman"/>
          <w:i/>
          <w:sz w:val="24"/>
        </w:rPr>
        <w:t>M</w:t>
      </w:r>
      <w:r>
        <w:rPr>
          <w:rFonts w:ascii="Times New Roman" w:hAnsi="Times New Roman" w:eastAsia="Times New Roman"/>
          <w:sz w:val="24"/>
        </w:rPr>
        <w:t xml:space="preserve">., Akl, E. A., Brennan, S. E., Chou, R., Glanville, J., Grimshaw, J. </w:t>
      </w:r>
      <w:r>
        <w:rPr>
          <w:rFonts w:ascii="Times New Roman" w:hAnsi="Times New Roman" w:eastAsia="Times New Roman"/>
          <w:i/>
          <w:sz w:val="24"/>
        </w:rPr>
        <w:t>M</w:t>
      </w:r>
      <w:r>
        <w:rPr>
          <w:rFonts w:ascii="Times New Roman" w:hAnsi="Times New Roman" w:eastAsia="Times New Roman"/>
          <w:sz w:val="24"/>
        </w:rPr>
        <w:t xml:space="preserve">., Hróbjartsson, A., Lalu, </w:t>
      </w:r>
      <w:r>
        <w:rPr>
          <w:rFonts w:ascii="Times New Roman" w:hAnsi="Times New Roman" w:eastAsia="Times New Roman"/>
          <w:i/>
          <w:sz w:val="24"/>
        </w:rPr>
        <w:t>M</w:t>
      </w:r>
      <w:r>
        <w:rPr>
          <w:rFonts w:ascii="Times New Roman" w:hAnsi="Times New Roman" w:eastAsia="Times New Roman"/>
          <w:sz w:val="24"/>
        </w:rPr>
        <w:t xml:space="preserve">. </w:t>
      </w:r>
      <w:r>
        <w:rPr>
          <w:rFonts w:ascii="Times New Roman" w:hAnsi="Times New Roman" w:eastAsia="Times New Roman"/>
          <w:i/>
          <w:sz w:val="24"/>
        </w:rPr>
        <w:t>M</w:t>
      </w:r>
      <w:r>
        <w:rPr>
          <w:rFonts w:ascii="Times New Roman" w:hAnsi="Times New Roman" w:eastAsia="Times New Roman"/>
          <w:sz w:val="24"/>
        </w:rPr>
        <w:t>., Li, T., Loder, E. W., Mayo-Wilson, E., McDonald, S., … Moher, D. (2021). The PRISMA 2020 statement: An updated guideline for reporting systematic reviews. BMJ, 372, n71. https://doi.org/10.1136/bmj.n71</w:t>
      </w:r>
    </w:p>
    <w:p>
      <w:pPr>
        <w:spacing w:line="480" w:lineRule="auto" w:before="0" w:after="0"/>
        <w:ind w:left="720" w:hanging="720"/>
      </w:pPr>
      <w:r>
        <w:rPr>
          <w:rFonts w:ascii="Times New Roman" w:hAnsi="Times New Roman" w:eastAsia="Times New Roman"/>
          <w:sz w:val="24"/>
        </w:rPr>
        <w:t xml:space="preserve">Peterson, R. A., &amp; Brown, S. P. (2005). On the use of beta coefficients in meta-analysis. </w:t>
      </w:r>
      <w:r>
        <w:rPr>
          <w:rFonts w:ascii="Times New Roman" w:hAnsi="Times New Roman" w:eastAsia="Times New Roman"/>
          <w:i/>
          <w:sz w:val="24"/>
        </w:rPr>
        <w:t>Journal of Applied Psychology, 90</w:t>
      </w:r>
      <w:r>
        <w:rPr>
          <w:rFonts w:ascii="Times New Roman" w:hAnsi="Times New Roman" w:eastAsia="Times New Roman"/>
          <w:sz w:val="24"/>
        </w:rPr>
        <w:t>(1), 175–181. https://doi.org/10.1037/0021-9010.90.1.175</w:t>
      </w:r>
    </w:p>
    <w:p>
      <w:pPr>
        <w:spacing w:line="480" w:lineRule="auto" w:before="0" w:after="0"/>
        <w:ind w:left="720" w:hanging="720"/>
      </w:pPr>
      <w:r>
        <w:rPr>
          <w:rFonts w:ascii="Times New Roman" w:hAnsi="Times New Roman" w:eastAsia="Times New Roman"/>
          <w:sz w:val="24"/>
        </w:rPr>
        <w:t xml:space="preserve">Poropat, A. E. (2009). A meta-analysis of the five-factor model of personality and academic performance. </w:t>
      </w:r>
      <w:r>
        <w:rPr>
          <w:rFonts w:ascii="Times New Roman" w:hAnsi="Times New Roman" w:eastAsia="Times New Roman"/>
          <w:i/>
          <w:sz w:val="24"/>
        </w:rPr>
        <w:t>Psychological Bulletin, 135</w:t>
      </w:r>
      <w:r>
        <w:rPr>
          <w:rFonts w:ascii="Times New Roman" w:hAnsi="Times New Roman" w:eastAsia="Times New Roman"/>
          <w:sz w:val="24"/>
        </w:rPr>
        <w:t>(2), 322–338. https://doi.org/10.1037/a0014996</w:t>
      </w:r>
    </w:p>
    <w:p>
      <w:pPr>
        <w:spacing w:line="480" w:lineRule="auto" w:before="0" w:after="0"/>
        <w:ind w:left="720" w:hanging="720"/>
      </w:pPr>
      <w:r>
        <w:rPr>
          <w:rFonts w:ascii="Times New Roman" w:hAnsi="Times New Roman" w:eastAsia="Times New Roman"/>
          <w:sz w:val="24"/>
        </w:rPr>
        <w:t xml:space="preserve">Pustejovsky, J. E. (2023). </w:t>
      </w:r>
      <w:r>
        <w:rPr>
          <w:rFonts w:ascii="Times New Roman" w:hAnsi="Times New Roman" w:eastAsia="Times New Roman"/>
          <w:i/>
          <w:sz w:val="24"/>
        </w:rPr>
        <w:t>clubSandwich: Cluster-robust (sandwich) variance estimators with small-sample corrections</w:t>
      </w:r>
      <w:r>
        <w:rPr>
          <w:rFonts w:ascii="Times New Roman" w:hAnsi="Times New Roman" w:eastAsia="Times New Roman"/>
          <w:sz w:val="24"/>
        </w:rPr>
        <w:t xml:space="preserve"> (R package version 0.5.10) [Computer software]. https://CRAN.R-project.org/package=clubSandwich</w:t>
      </w:r>
    </w:p>
    <w:p>
      <w:pPr>
        <w:spacing w:line="480" w:lineRule="auto" w:before="0" w:after="0"/>
        <w:ind w:left="720" w:hanging="720"/>
      </w:pPr>
      <w:r>
        <w:rPr>
          <w:rFonts w:ascii="Times New Roman" w:hAnsi="Times New Roman" w:eastAsia="Times New Roman"/>
          <w:sz w:val="24"/>
        </w:rPr>
        <w:t xml:space="preserve">Raudenbush, S. W. (2009). Analyzing effect sizes: Random-effects models. In H. Cooper, L. V. Hedges, &amp; J. C. Valentine (Eds.), </w:t>
      </w:r>
      <w:r>
        <w:rPr>
          <w:rFonts w:ascii="Times New Roman" w:hAnsi="Times New Roman" w:eastAsia="Times New Roman"/>
          <w:i/>
          <w:sz w:val="24"/>
        </w:rPr>
        <w:t>The handbook of research synthesis and meta-analysis</w:t>
      </w:r>
      <w:r>
        <w:rPr>
          <w:rFonts w:ascii="Times New Roman" w:hAnsi="Times New Roman" w:eastAsia="Times New Roman"/>
          <w:sz w:val="24"/>
        </w:rPr>
        <w:t xml:space="preserve"> (2nd ed., pp. 295–315). Russell Sage Foundation.</w:t>
      </w:r>
    </w:p>
    <w:p>
      <w:pPr>
        <w:spacing w:line="480" w:lineRule="auto" w:before="0" w:after="0"/>
        <w:ind w:left="720" w:hanging="720"/>
      </w:pPr>
      <w:r>
        <w:rPr>
          <w:rFonts w:ascii="Times New Roman" w:hAnsi="Times New Roman" w:eastAsia="Times New Roman"/>
          <w:sz w:val="24"/>
        </w:rPr>
        <w:t xml:space="preserve">Rivers, D. J. (2021). The role of personality traits and online academic self-efficacy in acceptance, actual use and achievement in Moodle. </w:t>
      </w:r>
      <w:r>
        <w:rPr>
          <w:rFonts w:ascii="Times New Roman" w:hAnsi="Times New Roman" w:eastAsia="Times New Roman"/>
          <w:i/>
          <w:sz w:val="24"/>
        </w:rPr>
        <w:t>Education and Information Technologies, 26</w:t>
      </w:r>
      <w:r>
        <w:rPr>
          <w:rFonts w:ascii="Times New Roman" w:hAnsi="Times New Roman" w:eastAsia="Times New Roman"/>
          <w:sz w:val="24"/>
        </w:rPr>
        <w:t>(4), 4353–4378. https://doi.org/10.1007/s10639-021-10478-3</w:t>
      </w:r>
    </w:p>
    <w:p>
      <w:pPr>
        <w:spacing w:line="480" w:lineRule="auto" w:before="0" w:after="0"/>
        <w:ind w:left="720" w:hanging="720"/>
      </w:pPr>
      <w:r>
        <w:rPr>
          <w:rFonts w:ascii="Times New Roman" w:hAnsi="Times New Roman" w:eastAsia="Times New Roman"/>
          <w:sz w:val="24"/>
        </w:rPr>
        <w:t xml:space="preserve">Rodrigues, J., Rose, R., &amp; Hewig, J. (2024). The relation of Big Five personality traits on academic performance, well-being and home study satisfaction in corona times. </w:t>
      </w:r>
      <w:r>
        <w:rPr>
          <w:rFonts w:ascii="Times New Roman" w:hAnsi="Times New Roman" w:eastAsia="Times New Roman"/>
          <w:i/>
          <w:sz w:val="24"/>
        </w:rPr>
        <w:t>European Journal of Investigation in Health, Psychology and Education, 14</w:t>
      </w:r>
      <w:r>
        <w:rPr>
          <w:rFonts w:ascii="Times New Roman" w:hAnsi="Times New Roman" w:eastAsia="Times New Roman"/>
          <w:sz w:val="24"/>
        </w:rPr>
        <w:t>(2), 368–384. https://doi.org/10.3390/ejihpe14020025</w:t>
      </w:r>
    </w:p>
    <w:p>
      <w:pPr>
        <w:spacing w:line="480" w:lineRule="auto" w:before="0" w:after="0"/>
        <w:ind w:left="720" w:hanging="720"/>
      </w:pPr>
      <w:r>
        <w:rPr>
          <w:rFonts w:ascii="Times New Roman" w:hAnsi="Times New Roman" w:eastAsia="Times New Roman"/>
          <w:sz w:val="24"/>
        </w:rPr>
        <w:t xml:space="preserve">Schünemann, H. J., Higgins, J. P. T., Vist, G. E., Glasziou, P., Akl, E. A., Skoetz, </w:t>
      </w:r>
      <w:r>
        <w:rPr>
          <w:rFonts w:ascii="Times New Roman" w:hAnsi="Times New Roman" w:eastAsia="Times New Roman"/>
          <w:i/>
          <w:sz w:val="24"/>
        </w:rPr>
        <w:t>N</w:t>
      </w:r>
      <w:r>
        <w:rPr>
          <w:rFonts w:ascii="Times New Roman" w:hAnsi="Times New Roman" w:eastAsia="Times New Roman"/>
          <w:sz w:val="24"/>
        </w:rPr>
        <w:t xml:space="preserve">., &amp; Guyatt, G. H. (2019). Chapter 14: Completing "Summary of findings" tables and grading the certainty of the evidence. In J. P. T. Higgins, J. Thomas, J. Chandler, </w:t>
      </w:r>
      <w:r>
        <w:rPr>
          <w:rFonts w:ascii="Times New Roman" w:hAnsi="Times New Roman" w:eastAsia="Times New Roman"/>
          <w:i/>
          <w:sz w:val="24"/>
        </w:rPr>
        <w:t>M</w:t>
      </w:r>
      <w:r>
        <w:rPr>
          <w:rFonts w:ascii="Times New Roman" w:hAnsi="Times New Roman" w:eastAsia="Times New Roman"/>
          <w:sz w:val="24"/>
        </w:rPr>
        <w:t xml:space="preserve">. Cumpston, T. Li, </w:t>
      </w:r>
      <w:r>
        <w:rPr>
          <w:rFonts w:ascii="Times New Roman" w:hAnsi="Times New Roman" w:eastAsia="Times New Roman"/>
          <w:i/>
          <w:sz w:val="24"/>
        </w:rPr>
        <w:t>M</w:t>
      </w:r>
      <w:r>
        <w:rPr>
          <w:rFonts w:ascii="Times New Roman" w:hAnsi="Times New Roman" w:eastAsia="Times New Roman"/>
          <w:sz w:val="24"/>
        </w:rPr>
        <w:t>. J. Page, &amp; V. A. Welch (Eds.), Cochrane handbook for systematic reviews of interventions (2nd ed.). John Wiley &amp; Sons.</w:t>
      </w:r>
    </w:p>
    <w:p>
      <w:pPr>
        <w:spacing w:line="480" w:lineRule="auto" w:before="0" w:after="0"/>
        <w:ind w:left="720" w:hanging="720"/>
      </w:pPr>
      <w:r>
        <w:rPr>
          <w:rFonts w:ascii="Times New Roman" w:hAnsi="Times New Roman" w:eastAsia="Times New Roman"/>
          <w:sz w:val="24"/>
        </w:rPr>
        <w:t xml:space="preserve">Simonsohn, U., Nelson, L. D., &amp; Simmons, J. P. (2014). P-curve: A key to the file-drawer. </w:t>
      </w:r>
      <w:r>
        <w:rPr>
          <w:rFonts w:ascii="Times New Roman" w:hAnsi="Times New Roman" w:eastAsia="Times New Roman"/>
          <w:i/>
          <w:sz w:val="24"/>
        </w:rPr>
        <w:t>Journal of Experimental Psychology: General, 143</w:t>
      </w:r>
      <w:r>
        <w:rPr>
          <w:rFonts w:ascii="Times New Roman" w:hAnsi="Times New Roman" w:eastAsia="Times New Roman"/>
          <w:sz w:val="24"/>
        </w:rPr>
        <w:t>(2), 534–547. https://doi.org/10.1037/a0033242</w:t>
      </w:r>
    </w:p>
    <w:p>
      <w:pPr>
        <w:spacing w:line="480" w:lineRule="auto" w:before="0" w:after="0"/>
        <w:ind w:left="720" w:hanging="720"/>
      </w:pPr>
      <w:r>
        <w:rPr>
          <w:rFonts w:ascii="Times New Roman" w:hAnsi="Times New Roman" w:eastAsia="Times New Roman"/>
          <w:sz w:val="24"/>
        </w:rPr>
        <w:t xml:space="preserve">Stajkovic, A. D., Bandura, A., Locke, E. A., Lee, D., &amp; Sergent, K. (2018). Test of three conceptual models of influence of the big five personality traits and self-efficacy on academic performance: A meta-analytic path-analysis. </w:t>
      </w:r>
      <w:r>
        <w:rPr>
          <w:rFonts w:ascii="Times New Roman" w:hAnsi="Times New Roman" w:eastAsia="Times New Roman"/>
          <w:i/>
          <w:sz w:val="24"/>
        </w:rPr>
        <w:t>Personality and Individual Differences, 120</w:t>
      </w:r>
      <w:r>
        <w:rPr>
          <w:rFonts w:ascii="Times New Roman" w:hAnsi="Times New Roman" w:eastAsia="Times New Roman"/>
          <w:sz w:val="24"/>
        </w:rPr>
        <w:t>, 238–245. https://doi.org/10.1016/j.paid.2017.08.014</w:t>
      </w:r>
    </w:p>
    <w:p>
      <w:pPr>
        <w:spacing w:line="480" w:lineRule="auto" w:before="0" w:after="0"/>
        <w:ind w:left="720" w:hanging="720"/>
      </w:pPr>
      <w:r>
        <w:rPr>
          <w:rFonts w:ascii="Times New Roman" w:hAnsi="Times New Roman" w:eastAsia="Times New Roman"/>
          <w:sz w:val="24"/>
        </w:rPr>
        <w:t xml:space="preserve">Tipton, E. (2015). Small sample adjustments for robust variance estimation with meta-regression. </w:t>
      </w:r>
      <w:r>
        <w:rPr>
          <w:rFonts w:ascii="Times New Roman" w:hAnsi="Times New Roman" w:eastAsia="Times New Roman"/>
          <w:i/>
          <w:sz w:val="24"/>
        </w:rPr>
        <w:t>Psychological Methods, 20</w:t>
      </w:r>
      <w:r>
        <w:rPr>
          <w:rFonts w:ascii="Times New Roman" w:hAnsi="Times New Roman" w:eastAsia="Times New Roman"/>
          <w:sz w:val="24"/>
        </w:rPr>
        <w:t>(3), 375–393. https://doi.org/10.1037/met0000011</w:t>
      </w:r>
    </w:p>
    <w:p>
      <w:pPr>
        <w:spacing w:line="480" w:lineRule="auto" w:before="0" w:after="0"/>
        <w:ind w:left="720" w:hanging="720"/>
      </w:pPr>
      <w:r>
        <w:rPr>
          <w:rFonts w:ascii="Times New Roman" w:hAnsi="Times New Roman" w:eastAsia="Times New Roman"/>
          <w:sz w:val="24"/>
        </w:rPr>
        <w:t>Tokiwa, E. (2025). Big Five personality traits and online learning outcomes in Japanese high school students [Manuscript in preparation]. SUNBLAZE Co., Ltd.</w:t>
      </w:r>
    </w:p>
    <w:p>
      <w:pPr>
        <w:spacing w:line="480" w:lineRule="auto" w:before="0" w:after="0"/>
        <w:ind w:left="720" w:hanging="720"/>
      </w:pPr>
      <w:r>
        <w:rPr>
          <w:rFonts w:ascii="Times New Roman" w:hAnsi="Times New Roman" w:eastAsia="Times New Roman"/>
          <w:sz w:val="24"/>
        </w:rPr>
        <w:t xml:space="preserve">Vedel, A. (2014). The Big Five and tertiary academic performance: A systematic review and meta-analysis. </w:t>
      </w:r>
      <w:r>
        <w:rPr>
          <w:rFonts w:ascii="Times New Roman" w:hAnsi="Times New Roman" w:eastAsia="Times New Roman"/>
          <w:i/>
          <w:sz w:val="24"/>
        </w:rPr>
        <w:t>Personality and Individual Differences, 71</w:t>
      </w:r>
      <w:r>
        <w:rPr>
          <w:rFonts w:ascii="Times New Roman" w:hAnsi="Times New Roman" w:eastAsia="Times New Roman"/>
          <w:sz w:val="24"/>
        </w:rPr>
        <w:t>, 66–76. https://doi.org/10.1016/j.paid.2014.07.011</w:t>
      </w:r>
    </w:p>
    <w:p>
      <w:pPr>
        <w:spacing w:line="480" w:lineRule="auto" w:before="0" w:after="0"/>
        <w:ind w:left="720" w:hanging="720"/>
      </w:pPr>
      <w:r>
        <w:rPr>
          <w:rFonts w:ascii="Times New Roman" w:hAnsi="Times New Roman" w:eastAsia="Times New Roman"/>
          <w:sz w:val="24"/>
        </w:rPr>
        <w:t xml:space="preserve">Viechtbauer, W. (2010). Conducting meta-analyses in R with the metafor package. </w:t>
      </w:r>
      <w:r>
        <w:rPr>
          <w:rFonts w:ascii="Times New Roman" w:hAnsi="Times New Roman" w:eastAsia="Times New Roman"/>
          <w:i/>
          <w:sz w:val="24"/>
        </w:rPr>
        <w:t>Journal of Statistical Software, 36</w:t>
      </w:r>
      <w:r>
        <w:rPr>
          <w:rFonts w:ascii="Times New Roman" w:hAnsi="Times New Roman" w:eastAsia="Times New Roman"/>
          <w:sz w:val="24"/>
        </w:rPr>
        <w:t>(3), 1–48. https://doi.org/10.18637/jss.v036.i03</w:t>
      </w:r>
    </w:p>
    <w:p>
      <w:pPr>
        <w:spacing w:line="480" w:lineRule="auto" w:before="0" w:after="0"/>
        <w:ind w:left="720" w:hanging="720"/>
      </w:pPr>
      <w:r>
        <w:rPr>
          <w:rFonts w:ascii="Times New Roman" w:hAnsi="Times New Roman" w:eastAsia="Times New Roman"/>
          <w:sz w:val="24"/>
        </w:rPr>
        <w:t xml:space="preserve">Wang, P., Wang, </w:t>
      </w:r>
      <w:r>
        <w:rPr>
          <w:rFonts w:ascii="Times New Roman" w:hAnsi="Times New Roman" w:eastAsia="Times New Roman"/>
          <w:i/>
          <w:sz w:val="24"/>
        </w:rPr>
        <w:t>F</w:t>
      </w:r>
      <w:r>
        <w:rPr>
          <w:rFonts w:ascii="Times New Roman" w:hAnsi="Times New Roman" w:eastAsia="Times New Roman"/>
          <w:sz w:val="24"/>
        </w:rPr>
        <w:t>., &amp; Li, Z. (2023). Exploring the ecosystem of K-12 online learning: An empirical study of impact mechanisms in the post-pandemic era. Frontiers in Psychology, 14, 1241477. https://doi.org/10.3389/fpsyg.2023.1241477</w:t>
      </w:r>
    </w:p>
    <w:p>
      <w:pPr>
        <w:spacing w:line="480" w:lineRule="auto" w:before="0" w:after="0"/>
        <w:ind w:left="720" w:hanging="720"/>
      </w:pPr>
      <w:r>
        <w:rPr>
          <w:rFonts w:ascii="Times New Roman" w:hAnsi="Times New Roman" w:eastAsia="Times New Roman"/>
          <w:sz w:val="24"/>
        </w:rPr>
        <w:t xml:space="preserve">Yu, Z. (2021). The effects of gender, educational level, and personality on online learning outcomes during the COVID-19 pandemic. </w:t>
      </w:r>
      <w:r>
        <w:rPr>
          <w:rFonts w:ascii="Times New Roman" w:hAnsi="Times New Roman" w:eastAsia="Times New Roman"/>
          <w:i/>
          <w:sz w:val="24"/>
        </w:rPr>
        <w:t>International Journal of Educational Technology in Higher Education, 18</w:t>
      </w:r>
      <w:r>
        <w:rPr>
          <w:rFonts w:ascii="Times New Roman" w:hAnsi="Times New Roman" w:eastAsia="Times New Roman"/>
          <w:sz w:val="24"/>
        </w:rPr>
        <w:t>, Article 14. https://doi.org/10.1186/s41239-021-00252-3</w:t>
      </w:r>
    </w:p>
    <w:p>
      <w:pPr>
        <w:spacing w:line="480" w:lineRule="auto" w:before="0" w:after="0"/>
        <w:ind w:left="720" w:hanging="720"/>
      </w:pPr>
      <w:r>
        <w:rPr>
          <w:rFonts w:ascii="Times New Roman" w:hAnsi="Times New Roman" w:eastAsia="Times New Roman"/>
          <w:sz w:val="24"/>
        </w:rPr>
        <w:t xml:space="preserve">Zell, E., &amp; Lesick, T. L. (2022). Big five personality traits and performance: A quantitative synthesis of 50+ meta-analyses. </w:t>
      </w:r>
      <w:r>
        <w:rPr>
          <w:rFonts w:ascii="Times New Roman" w:hAnsi="Times New Roman" w:eastAsia="Times New Roman"/>
          <w:i/>
          <w:sz w:val="24"/>
        </w:rPr>
        <w:t>Journal of Personality, 90</w:t>
      </w:r>
      <w:r>
        <w:rPr>
          <w:rFonts w:ascii="Times New Roman" w:hAnsi="Times New Roman" w:eastAsia="Times New Roman"/>
          <w:sz w:val="24"/>
        </w:rPr>
        <w:t>(4), 559–573. https://doi.org/10.1111/jopy.12683</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Times New Roman" w:hAnsi="Times New Roman" w:eastAsia="Times New Roman"/>
        <w:sz w:val="24"/>
      </w:rPr>
      <w:t>BIG FIVE AND ONLINE LEARNING</w:t>
      <w:tab/>
      <w:tab/>
    </w: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