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Editors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i/>
          <w:sz w:val="24"/>
        </w:rPr>
        <w:t>XXXX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Editors,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Personality Interventions Don't Work; Structural Ones Do: Counterfactual Evidence from a HEXACO 7-Typology Workplace Harassment Microsimulation in Japan, for consideration as a Stage 2 Registered Report at XXXX.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submission implements, without deviation, the analysis pre-registered as v2.0 at the Open Science Framework (DOI 10.17605/OSF.IO/3Y54U; locked 2026-05-21). All seven primary hypotheses (H1–H7) are evaluated against pre-registered classification rules; all sensitivity sweeps and diagnostic procedures specified in the v2.0 master are executed and reported. The Methods Clarifications Log accompanying the v2.0 registration (Section 6.5 Level 1 deviation; SHA-256 fcaaf0d…) documents 16 minor specification clarifications resolved during the Stage 1 protocol-development phase.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 harassment data, partitioned into 14 cells (7 HEXACO clusters × 2 genders) and re-weighted with MHLW Labor Force Survey 2022 marginals, we tested three pre-registered counterfactual interventions: (A) personality intervention shifting Honesty-Humility, Agreeableness, and Emotionality by +0.3 SD; (B) cluster reassignment to three low-prevalence typologies; and (C) structural intervention reducing cell-level propensity by 20%, calibrated against three meta-analyses and the MHLW 2020-2023 Power Harassment Prevention Law natural experiment.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(Berger &amp; Hsu, 1996) classifies the configuration as REVERSAL: ΔP_A and ΔP_B are statistically null, whereas ΔP_C = +3.54 percentage points (95% CI excluding zero). The classification is robust across all four pre-registered cultural attenuation factors (F = 0.3 to 1.0), including the worst-case Sapouna (2010) UK→Germany null anchor. Numerically, the structural intervention's population-level effect is approximately 5.8×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code) and open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We reposition HEXACO 7-typology as a stratification variable identifying differentially exposed populations rather than as an intervention target. This framing rejects victim-blaming readings of harassment exposure and aligns with workplace 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2020-2023 natural experiment (−13.2 pp post-Power-Harassment-Prevention-Law decline) provides a rare quasi-validation of our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Compliance with Stage 2 RR review criteria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Pre-registration adherence: All deviations from the v2.0 master are documented in the Methods Clarifications Log (locked 2026-05-21) and disclosed in §2.2 of the manuscript. No undocumented deviations occurred.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Hypotheses tested: All seven pre-registered hypotheses (H1–H7) are evaluated; outcomes are reported per pre-registered classification rules in Table 6.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All code is publicly archived under MIT license at https://github.com/etoki/paper (directory: simulation/); intermediate HDF5 artifacts at OSF; SHA-256 hash-verified reproduction via make reproduce.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Data availability: The N = 354 individual-level data are available at OSF under IRB-approved data-sharing protocol; population reweighting data (MHLW Labor Force Survey 2022) are publicly archived in repository.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Limitations openly disclosed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Discussion section (§4.4) discloses six limitations explicitly: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Reduced-form framing of Counterfactual C (population-level statistical translation of structural change; mechanistic deterrence dynamics not endogenously modeled);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Causal under-identification (selection, confounding, and reverse causation cannot be distinguished from M1 direct causation, only the latter rejected);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Heterogeneity in counterfactual response (uniform −20% across cells; cell-specific response not estimated);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Static framing (no temporal dynamics);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m8 limitation (cluster proportions M3-fixed at IEEE-published values);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Sample size (N = 354; cell-level CIs adequate but not extensively replicated).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position these limitations as future-work targets rather than threats to the Stage 2 conclusion, which depends only on the apples-to-apples comparison of pre-registered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Author and conflict-of-interest statement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is a sole-authored submission. The author (Eisuke Tokiwa, ORCID 0009-0009-7124-6669) declares no competing interests. The research was self-funded by SUNBLAZE Co., Ltd. (Tokyo, Japan); no external funding was received.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Per XXXX guidelines, the following experts have publicly stated expertise relevant to this manuscript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1] — workplace bullying / structural-intervention meta-analyses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2] — HEXACO model and cross-cultural personality differences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3] — target trial emulation and counterfactual epidemiology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4] — Japanese occupational health psychology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respectfully request that reviewers familiar with both the HEXACO model and the Stage 2 Registered Report process be considered.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published, is not under consideration elsewhere, and that all authors (sole-authored) have agreed to the submission.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editorial team's response and the peer-review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SUNBLAZE Co., Ltd. Tokyo, Japan Email: eisuke.tokiwa@sunblaze.jp ORCID: 0009-0009-7124-6669 GitHub: https://github.com/etoki/paper OSF: https://osf.io/3hxz6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