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720"/>
      </w:pPr>
      <w:r>
        <w:rPr>
          <w:rFonts w:ascii="Times New Roman" w:hAnsi="Times New Roman" w:eastAsia="Times New Roman"/>
          <w:b/>
          <w:sz w:val="24"/>
        </w:rPr>
        <w:t>Title:</w:t>
      </w:r>
      <w:r>
        <w:rPr>
          <w:rFonts w:ascii="Times New Roman" w:hAnsi="Times New Roman" w:eastAsia="Times New Roman"/>
          <w:sz w:val="24"/>
        </w:rPr>
        <w:t xml:space="preserve"> </w:t>
      </w:r>
      <w:r>
        <w:rPr>
          <w:rFonts w:ascii="Times New Roman" w:hAnsi="Times New Roman" w:eastAsia="Times New Roman"/>
          <w:i/>
          <w:sz w:val="24"/>
        </w:rPr>
        <w:t>Person-Level versus System-Level Anti-Harassment Interventions: A HEXACO 7-Typology Counterfactual Microsimulation in Japanese Workplaces</w:t>
      </w:r>
    </w:p>
    <w:p>
      <w:pPr>
        <w:spacing w:line="480" w:lineRule="auto" w:before="0" w:after="0"/>
        <w:ind w:firstLine="720"/>
      </w:pPr>
      <w:r>
        <w:rPr>
          <w:rFonts w:ascii="Times New Roman" w:hAnsi="Times New Roman" w:eastAsia="Times New Roman"/>
          <w:b/>
          <w:sz w:val="24"/>
        </w:rPr>
        <w:t>Author</w:t>
      </w:r>
      <w:r>
        <w:rPr>
          <w:rFonts w:ascii="Times New Roman" w:hAnsi="Times New Roman" w:eastAsia="Times New Roman"/>
          <w:sz w:val="24"/>
        </w:rPr>
        <w:t xml:space="preserve">: Eisuke Tokiwa (independent researcher; correspondence c/o SUNBLAZE Co., Ltd., Tokyo, Japan; ORCID 0009-0009-7124-6669; eisuke.tokiwa@sunblaze.jp) </w:t>
      </w:r>
      <w:r>
        <w:rPr>
          <w:rFonts w:ascii="Times New Roman" w:hAnsi="Times New Roman" w:eastAsia="Times New Roman"/>
          <w:b/>
          <w:sz w:val="24"/>
        </w:rPr>
        <w:t>Pre-registration</w:t>
      </w:r>
      <w:r>
        <w:rPr>
          <w:rFonts w:ascii="Times New Roman" w:hAnsi="Times New Roman" w:eastAsia="Times New Roman"/>
          <w:sz w:val="24"/>
        </w:rPr>
        <w:t xml:space="preserve">: OSF DOI 10.17605/OSF.IO/3Y54U (v2.0; locked 2026-04-30) </w:t>
      </w:r>
      <w:r>
        <w:rPr>
          <w:rFonts w:ascii="Times New Roman" w:hAnsi="Times New Roman" w:eastAsia="Times New Roman"/>
          <w:b/>
          <w:sz w:val="24"/>
        </w:rPr>
        <w:t>Reporting standard</w:t>
      </w:r>
      <w:r>
        <w:rPr>
          <w:rFonts w:ascii="Times New Roman" w:hAnsi="Times New Roman" w:eastAsia="Times New Roman"/>
          <w:sz w:val="24"/>
        </w:rPr>
        <w:t xml:space="preserve">: Stage 2 Registered Report (post-data) following the v2.0 pre-registration </w:t>
      </w:r>
      <w:r>
        <w:rPr>
          <w:rFonts w:ascii="Times New Roman" w:hAnsi="Times New Roman" w:eastAsia="Times New Roman"/>
          <w:b/>
          <w:sz w:val="24"/>
        </w:rPr>
        <w:t>Funding and competing interests</w:t>
      </w:r>
      <w:r>
        <w:rPr>
          <w:rFonts w:ascii="Times New Roman" w:hAnsi="Times New Roman" w:eastAsia="Times New Roman"/>
          <w:sz w:val="24"/>
        </w:rPr>
        <w:t xml:space="preserve">: This study received no external grant funding and no internal SUNBLAZE Co., Ltd. funding; the author conducted the research as an independent academic project. The author is the representative of SUNBLAZE Co., Ltd. (Tokyo, Japan), which provides HEXACO-JP, a proprietary Japanese-language HEXACO-based personality assessment service. </w:t>
      </w:r>
      <w:r>
        <w:rPr>
          <w:rFonts w:ascii="Times New Roman" w:hAnsi="Times New Roman" w:eastAsia="Times New Roman"/>
          <w:b/>
          <w:sz w:val="24"/>
        </w:rPr>
        <w:t>This affiliation is a potential competing interest and is disclosed accordingly.</w:t>
      </w:r>
      <w:r>
        <w:rPr>
          <w:rFonts w:ascii="Times New Roman" w:hAnsi="Times New Roman" w:eastAsia="Times New Roman"/>
          <w:sz w:val="24"/>
        </w:rPr>
        <w:t xml:space="preserv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fund, sponsor, or direct the research. (iii) The empirical findings of the present study — a null personality-intervention contrast and a substantively reframed reading of HEXACO 7-typology as a stratification variable rather than an intervention or screening target — do not differentially favor commercial HEXACO-based assessment products.</w:t>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is associated with substantial mental-health and labor-supply costs in Japan, where Ministry of Health, Labour and Welfare (MHLW) surveys document past-three-year power-harassment victimization declining from 32.5% (FY2016) to 19.3% (FY2023) over the period spanning enforcement of the 2020 Power Harassment Prevention Law. The relative population-level magnitude of plausible person-level versus system-level interventions during this period has not been quantitatively compared in a pre-registered counterfactual framework. We pre-registered (OSF DOI 10.17605/OSF.IO/3Y54U) a 7-typology HEXACO microsimulation that emulates a target trial of three counterfactual interventions: (A) a universal +0.3 SD shift on Honesty-Humility, Agreeableness, and Emotionality; (B) a +0.40 SD Honesty-Humility shift restricted to individuals already in three low-prevalence typologies (Clusters {0, 4, 6}); and (C) a structural cell-level propensity reduction of 20%, calibrated against three meta-analyses of organizational anti-harassment interventions. Using N = 354 individual-level observations partitioned into 14 cells (7 typologies × 2 genders) with cell-stratified bootstrap (B = 10,000), Beta-Binomial empirical Bayes shrinkage, and a four-step BCa confidence-interval cascade, the personality-intervention contrasts are statistically null (ΔP_A = −0.0061, 95% CI [−0.0207, +0.0062]; ΔP_B = −0.0059, 95% CI [−0.0207, +0.0066]), whereas the structural-intervention contrast is positive (ΔP_C = +0.0349, 95% CI [+0.0264, +0.0435]). The pre-registered intersection-union test classifies this configuration as REVERSAL: in absolute magnitude, |ΔP_C|/|ΔP_A| ≈ 5.7. The classification is robust across cultural attenuation factors of 0.3–1.0 and across nine pre-registered analytic choices. We interpret these contrasts conditional on the prior meta-analytic effect sizes from which each counterfactual was calibrated. The findings are consistent with treating HEXACO 7-typology as a stratification variable that identifies differentially exposed subpopulations rather than as a target for individual-level personality modification, and we caution against interpreting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 20260429, Docker container, MIT-licensed code; public supplementary archive at OSF DOI 10.17605/OSF.IO/3Y54U), open aggregate data (Stage 0–8 HDF5 artifacts, figures, and a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 xml:space="preserve">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w:t>
      </w:r>
      <w:r>
        <w:rPr>
          <w:rFonts w:ascii="Times New Roman" w:hAnsi="Times New Roman" w:eastAsia="Times New Roman"/>
          <w:sz w:val="24"/>
        </w:rPr>
        <w:t>make reproduce</w:t>
      </w:r>
      <w:r>
        <w:rPr>
          <w:rFonts w:ascii="Times New Roman" w:hAnsi="Times New Roman" w:eastAsia="Times New Roman"/>
          <w:sz w:val="24"/>
        </w:rPr>
        <w:t xml:space="preserv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w:t>
      </w:r>
      <w:r>
        <w:rPr>
          <w:rFonts w:ascii="Times New Roman" w:hAnsi="Times New Roman" w:eastAsia="Times New Roman"/>
          <w:sz w:val="24"/>
        </w:rPr>
        <w:t>simulation/code/verify_reproduction.py</w:t>
      </w:r>
      <w:r>
        <w:rPr>
          <w:rFonts w:ascii="Times New Roman" w:hAnsi="Times New Roman" w:eastAsia="Times New Roman"/>
          <w:sz w:val="24"/>
        </w:rPr>
        <w:t xml:space="preserve"> and compared against </w:t>
      </w:r>
      <w:r>
        <w:rPr>
          <w:rFonts w:ascii="Times New Roman" w:hAnsi="Times New Roman" w:eastAsia="Times New Roman"/>
          <w:sz w:val="24"/>
        </w:rPr>
        <w:t>reference_hashes.json</w:t>
      </w:r>
      <w:r>
        <w:rPr>
          <w:rFonts w:ascii="Times New Roman" w:hAnsi="Times New Roman" w:eastAsia="Times New Roman"/>
          <w:sz w:val="24"/>
        </w:rPr>
        <w:t xml:space="preserve">. The Docker container </w:t>
      </w:r>
      <w:r>
        <w:rPr>
          <w:rFonts w:ascii="Times New Roman" w:hAnsi="Times New Roman" w:eastAsia="Times New Roman"/>
          <w:sz w:val="24"/>
        </w:rPr>
        <w:t>Dockerfile</w:t>
      </w:r>
      <w:r>
        <w:rPr>
          <w:rFonts w:ascii="Times New Roman" w:hAnsi="Times New Roman" w:eastAsia="Times New Roman"/>
          <w:sz w:val="24"/>
        </w:rPr>
        <w:t xml:space="preserve"> and the </w:t>
      </w:r>
      <w:r>
        <w:rPr>
          <w:rFonts w:ascii="Times New Roman" w:hAnsi="Times New Roman" w:eastAsia="Times New Roman"/>
          <w:sz w:val="24"/>
        </w:rPr>
        <w:t>Makefile</w:t>
      </w:r>
      <w:r>
        <w:rPr>
          <w:rFonts w:ascii="Times New Roman" w:hAnsi="Times New Roman" w:eastAsia="Times New Roman"/>
          <w:sz w:val="24"/>
        </w:rPr>
        <w:t xml:space="preserve"> </w:t>
      </w:r>
      <w:r>
        <w:rPr>
          <w:rFonts w:ascii="Times New Roman" w:hAnsi="Times New Roman" w:eastAsia="Times New Roman"/>
          <w:sz w:val="24"/>
        </w:rPr>
        <w:t>reproduce</w:t>
      </w:r>
      <w:r>
        <w:rPr>
          <w:rFonts w:ascii="Times New Roman" w:hAnsi="Times New Roman" w:eastAsia="Times New Roman"/>
          <w:sz w:val="24"/>
        </w:rPr>
        <w:t xml:space="preserv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indicating that the cell-level structural-intervention contrast (Counterfactual C; −20% propensity, calibrated against three meta-analyses)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and verifies that the structural-intervention contrast does not differentially fail any subgroup, but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