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HEXACO 7-Typology Evidence That Structure Dominates Personality in Japanese Workplaces,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2026-04-30 alongside the v2.0 registration) and disclosed in the Methods (Pre-registered analytic pipeline) section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Author, funding, and competing-interests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discloses the following potential competing interest: the author is the representative of SUNBLAZE Co., Ltd. (Tokyo, Japan), which provides HEXACO-JP, a proprietary Japanese-language HEXACO-based personality assessment service. The present study does not use HEXACO-JP; it uses the HEXACO-PI-R Japanese 60-item adaptation published by Wakabayashi (2014) as a separately validated, openly cited instrument. The manuscript does not reference, evaluate, market, recommend, or otherwise promote HEXACO-JP or any other SUNBLAZE product or service. The research received no SUNBLAZE funding, no external grant funding, and was conducted as an independent academic project. The headline empirical findings (null personality-intervention contrast,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