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Personality Interventions Don't Work; Structural Ones Do: Counterfactual Evidence from a HEXACO 7-Typology Workplace Harassment Microsimulation in Japan</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i/>
          <w:sz w:val="24"/>
        </w:rPr>
        <w:t>SUNBLAZE Co., Ltd., Tokyo, Japan</w:t>
      </w:r>
    </w:p>
    <w:p>
      <w:pPr>
        <w:spacing w:line="480" w:lineRule="auto" w:before="0" w:after="0"/>
        <w:jc w:val="center"/>
      </w:pPr>
      <w:r>
        <w:rPr>
          <w:rFonts w:ascii="Times New Roman" w:hAnsi="Times New Roman" w:eastAsia="Times New Roman"/>
          <w:sz w:val="24"/>
        </w:rPr>
        <w:t>ORCID: 0009-0009-7124-6669</w:t>
      </w: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ind w:firstLine="720"/>
      </w:pPr>
      <w:r>
        <w:rPr>
          <w:rFonts w:ascii="Times New Roman" w:hAnsi="Times New Roman" w:eastAsia="Times New Roman"/>
          <w:sz w:val="24"/>
        </w:rPr>
        <w:t>Pre-registration: OSF DOI 10.17605/OSF.IO/3Y54U (https://osf.io/3y54u). Code, data, and intermediate artifacts are publicly archived under MIT license at https://github.com/etoki/paper.</w:t>
      </w:r>
    </w:p>
    <w:p>
      <w:pPr>
        <w:spacing w:line="480" w:lineRule="auto" w:before="0" w:after="0"/>
      </w:pPr>
    </w:p>
    <w:p>
      <w:pPr>
        <w:spacing w:line="480" w:lineRule="auto" w:before="0" w:after="0"/>
        <w:ind w:firstLine="720"/>
      </w:pPr>
      <w:r>
        <w:rPr>
          <w:rFonts w:ascii="Times New Roman" w:hAnsi="Times New Roman" w:eastAsia="Times New Roman"/>
          <w:sz w:val="24"/>
        </w:rPr>
        <w:t>Submitted to: Royal Society Open Science (Stage 2 Registered Report). This manuscript implements the analysis pre-registered as v2.0 at OSF (https://osf.io/3y54u). Conditional acceptance based on Stage 1 review of the v2.0 protocol document is acknowledged in the cover letter.</w:t>
      </w:r>
    </w:p>
    <w:p>
      <w:pPr>
        <w:spacing w:line="480" w:lineRule="auto" w:before="0" w:after="0"/>
      </w:pPr>
    </w:p>
    <w:p>
      <w:r>
        <w:br w:type="page"/>
      </w:r>
    </w:p>
    <w:p>
      <w:pPr>
        <w:spacing w:line="480" w:lineRule="auto" w:before="0" w:after="0"/>
        <w:jc w:val="center"/>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Funding</w:t>
      </w:r>
    </w:p>
    <w:p>
      <w:pPr>
        <w:spacing w:line="480" w:lineRule="auto" w:before="0" w:after="0"/>
        <w:ind w:firstLine="720"/>
      </w:pPr>
      <w:r>
        <w:rPr>
          <w:rFonts w:ascii="Times New Roman" w:hAnsi="Times New Roman" w:eastAsia="Times New Roman"/>
          <w:sz w:val="24"/>
        </w:rPr>
        <w:t>This research was self-funded by SUNBLAZE Co., Ltd. No external funding was received.</w:t>
      </w:r>
    </w:p>
    <w:p>
      <w:pPr>
        <w:spacing w:line="480" w:lineRule="auto" w:before="0" w:after="0"/>
      </w:pPr>
      <w:r>
        <w:rPr>
          <w:rFonts w:ascii="Times New Roman" w:hAnsi="Times New Roman" w:eastAsia="Times New Roman"/>
          <w:b/>
          <w:sz w:val="24"/>
        </w:rPr>
        <w:t>Conflicts of interest</w:t>
      </w:r>
    </w:p>
    <w:p>
      <w:pPr>
        <w:spacing w:line="480" w:lineRule="auto" w:before="0" w:after="0"/>
        <w:ind w:firstLine="720"/>
      </w:pPr>
      <w:r>
        <w:rPr>
          <w:rFonts w:ascii="Times New Roman" w:hAnsi="Times New Roman" w:eastAsia="Times New Roman"/>
          <w:sz w:val="24"/>
        </w:rPr>
        <w:t>The author declares no competing interests.</w:t>
      </w:r>
    </w:p>
    <w:p>
      <w:pPr>
        <w:spacing w:line="480" w:lineRule="auto" w:before="0" w:after="0"/>
      </w:pPr>
      <w:r>
        <w:rPr>
          <w:rFonts w:ascii="Times New Roman" w:hAnsi="Times New Roman" w:eastAsia="Times New Roman"/>
          <w:b/>
          <w:sz w:val="24"/>
        </w:rPr>
        <w:t>Author contributions</w:t>
      </w:r>
    </w:p>
    <w:p>
      <w:pPr>
        <w:spacing w:line="480" w:lineRule="auto" w:before="0" w:after="0"/>
        <w:ind w:firstLine="720"/>
      </w:pPr>
      <w:r>
        <w:rPr>
          <w:rFonts w:ascii="Times New Roman" w:hAnsi="Times New Roman" w:eastAsia="Times New Roman"/>
          <w:sz w:val="24"/>
        </w:rPr>
        <w:t>The author (sole-authored) was responsible for conceptualization, methodology, software, formal analysis, investigation, data curation, writing — original draft, and writing — review &amp; editing.</w:t>
      </w:r>
    </w:p>
    <w:p>
      <w:pPr>
        <w:spacing w:line="480" w:lineRule="auto" w:before="0" w:after="0"/>
      </w:pPr>
      <w:r>
        <w:rPr>
          <w:rFonts w:ascii="Times New Roman" w:hAnsi="Times New Roman" w:eastAsia="Times New Roman"/>
          <w:b/>
          <w:sz w:val="24"/>
        </w:rPr>
        <w:t>Data and code availability</w:t>
      </w:r>
    </w:p>
    <w:p>
      <w:pPr>
        <w:spacing w:line="480" w:lineRule="auto" w:before="0" w:after="0"/>
        <w:ind w:firstLine="720"/>
      </w:pPr>
      <w:r>
        <w:rPr>
          <w:rFonts w:ascii="Times New Roman" w:hAnsi="Times New Roman" w:eastAsia="Times New Roman"/>
          <w:sz w:val="24"/>
        </w:rPr>
        <w:t>All code, data, and intermediate artifacts are publicly archived under MIT license at https://github.com/etoki/paper (directory: simulation/) and at OSF DOI 10.17605/OSF.IO/3Y54U (https://osf.io/3y54u). Reproducibility is verified via SHA-256 hash comparison against the v2.0 OSF registration.</w:t>
      </w:r>
    </w:p>
    <w:p>
      <w:pPr>
        <w:spacing w:line="480" w:lineRule="auto" w:before="0" w:after="0"/>
      </w:pPr>
      <w:r>
        <w:rPr>
          <w:rFonts w:ascii="Times New Roman" w:hAnsi="Times New Roman" w:eastAsia="Times New Roman"/>
          <w:b/>
          <w:sz w:val="24"/>
        </w:rPr>
        <w:t>Ethics statement</w:t>
      </w:r>
    </w:p>
    <w:p>
      <w:pPr>
        <w:spacing w:line="480" w:lineRule="auto" w:before="0" w:after="0"/>
        <w:ind w:firstLine="720"/>
      </w:pPr>
      <w:r>
        <w:rPr>
          <w:rFonts w:ascii="Times New Roman" w:hAnsi="Times New Roman" w:eastAsia="Times New Roman"/>
          <w:sz w:val="24"/>
        </w:rPr>
        <w:t>The N=354 individual-level harassment data analyzed in this study were collected under an IRB-approved protocol (Tokiwa, 2025, harassment preprint). Analysis of de-identified data does not require additional ethics review under SUNBLAZE Co., Ltd. policy.</w:t>
      </w:r>
    </w:p>
    <w:p>
      <w:r>
        <w:br w:type="page"/>
      </w:r>
    </w:p>
    <w:p>
      <w:pPr>
        <w:spacing w:line="480" w:lineRule="auto" w:before="0" w:after="0"/>
        <w:jc w:val="left"/>
      </w:pPr>
      <w:r>
        <w:rPr>
          <w:rFonts w:ascii="Times New Roman" w:hAnsi="Times New Roman" w:eastAsia="Times New Roman"/>
          <w:b/>
          <w:sz w:val="24"/>
        </w:rPr>
        <w:t>Abstract (≈ 250 words)</w:t>
      </w:r>
    </w:p>
    <w:p>
      <w:pPr>
        <w:spacing w:line="480" w:lineRule="auto" w:before="0" w:after="0"/>
        <w:ind w:firstLine="720"/>
      </w:pPr>
      <w:r>
        <w:rPr>
          <w:rFonts w:ascii="Times New Roman" w:hAnsi="Times New Roman" w:eastAsia="Times New Roman"/>
          <w:sz w:val="24"/>
        </w:rPr>
        <w:t>Workplace harassment imposes substantial public-health and economic costs in Japan, with Ministry of Health, Labour and Welfare (MHLW) surveys documenting past-three-year power-harassment victimization rates of 32.5% (FY2016) declining to 19.3% (FY2023) following the 2020 Power Harassment Prevention Law. Whether this decline can be attributed to structural intervention, and whether person-level personality interventions could achieve comparable effects, remains an open empirical question. We pre-registered (OSF DOI 10.17605/OSF.IO/3Y54U) a 7-typology HEXACO microsimulation that emulates a target trial of three counterfactual interventions: (A) personality training that shifts Honesty-Humility, Agreeableness, and Emotionality by +0.3 SD; (B) cluster reassignment to three low-prevalence HEXACO typologies; and (C) structural reform that reduces cell-level harassment propensity by 20%, calibrated against three prior meta-analyses. Using N = 354 individual-level survey data partitioned into 14 cells (7 HEXACO typologies × 2 genders) with cell-stratified bootstrap (B = 10,000), Beta-Binomial empirical Bayes shrinkage, and four-step BCa confidence interval cascade, we report that ΔP_A = −0.0061 (95% CI [−0.0199, +0.0054]) and ΔP_B = −0.0058 (95% CI [−0.0199, +0.0056]) are both null, whereas ΔP_C = −0.0354 (95% CI [+0.0266, +0.0445]) is positive and statistically robust. The intersection-union test classifies this configuration as REVERSAL, indicating structural intervention dominance over personality intervention by approximately 5.8×. Sensitivity sweeps confirm robustness across cultural attenuation factors of 0.3–1.0 and across nine pre-registered analytic choices. We interpret HEXACO 7-typology as a stratification variable, not an intervention target, and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ind w:firstLine="720"/>
        <w:jc w:val="left"/>
      </w:pPr>
      <w:r>
        <w:rPr>
          <w:rFonts w:ascii="Times New Roman" w:hAnsi="Times New Roman" w:eastAsia="Times New Roman"/>
          <w:b/>
          <w:i/>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厚生労働省)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(パワーハラスメント防止法),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2018). The former approach assumes that harassment is largely driven by individual disposition; the latter, that it is largely driven by environmental affordance. Despite extensive research linking personality traits to bullying and harassment (Nielsen, 2017; Pilch &amp; Turska, 2015), the relative population-level efficacy of person-level versus system-level interventions has not been quantitatively compared in a counterfactually rigorous framework.</w:t>
      </w:r>
    </w:p>
    <w:p>
      <w:pPr>
        <w:spacing w:line="480" w:lineRule="auto" w:before="0" w:after="0"/>
        <w:ind w:firstLine="720"/>
        <w:jc w:val="left"/>
      </w:pPr>
      <w:r>
        <w:rPr>
          <w:rFonts w:ascii="Times New Roman" w:hAnsi="Times New Roman" w:eastAsia="Times New Roman"/>
          <w:b/>
          <w:i/>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2014; Linton &amp; Power, 2013; Nielsen, 2017). However, the magnitude of these associations is generally modest (uncorrected r typically in the range 0.10–0.30; Nielsen, 2017), and recent meta-analyses suggest considerable cross-cultural heterogeneity, with effect sizes attenuated in collectivist relative to individualist cultures (Sapouna, 2010 found a null UK→Germany attenuation pattern in workplace contexts; Nielsen, 2017 reported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separately published study, our research group identified seven robust HEXACO clusters in a Japanese sample of N = 13,668 (Tokiwa, 2024, IEEE; herein "the centroid study"). The seven typologies — labeled here as types 0 through 6 — span the joint distribution of HEXACO domains and provide a parsimonious taxonomy for categorizing individuals according to their personality profile. The present study leverages these IEEE-published centroids as fixed parameters for stratifying a smaller harassment-focused subsample (N = 354; Tokiwa, 2025, harassment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ind w:firstLine="720"/>
        <w:jc w:val="left"/>
      </w:pPr>
      <w:r>
        <w:rPr>
          <w:rFonts w:ascii="Times New Roman" w:hAnsi="Times New Roman" w:eastAsia="Times New Roman"/>
          <w:b/>
          <w:i/>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Sleep &amp; Watts, 2024).</w:t>
      </w:r>
    </w:p>
    <w:p>
      <w:pPr>
        <w:pStyle w:val="ListBullet"/>
        <w:spacing w:line="480" w:lineRule="auto" w:before="0" w:after="0"/>
      </w:pPr>
      <w:r>
        <w:rPr>
          <w:rFonts w:ascii="Times New Roman" w:hAnsi="Times New Roman" w:eastAsia="Times New Roman"/>
          <w:sz w:val="24"/>
        </w:rPr>
        <w:t>Counterfactual B (cluster reassignment): do(cluster ∈ {0, 4, 6}). Individuals are computationally reassigned to one of three low-harassment-prevalence typologies, retaining their original HEXACO scores. This intervention represents an extreme (and arguably implausible) personality-shift scenario, included as an upper bound on what any person-level intervention could achieve.</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(Hodgins, 2014; Salin, 2018; Saunders, 2007), as well as the empirical −12.1 percentage-point reduction observed in the MHLW survey series during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ind w:firstLine="720"/>
        <w:jc w:val="left"/>
      </w:pPr>
      <w:r>
        <w:rPr>
          <w:rFonts w:ascii="Times New Roman" w:hAnsi="Times New Roman" w:eastAsia="Times New Roman"/>
          <w:b/>
          <w:i/>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MHLW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IEEE-published centroids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ind w:firstLine="720"/>
        <w:jc w:val="left"/>
      </w:pPr>
      <w:r>
        <w:rPr>
          <w:rFonts w:ascii="Times New Roman" w:hAnsi="Times New Roman" w:eastAsia="Times New Roman"/>
          <w:b/>
          <w:i/>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and open data (N = 354 deposited at OSF; centroids retrieved from IEEE clustering paper supplement).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5.8×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locked 2026-05-21).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ind w:firstLine="720"/>
        <w:jc w:val="left"/>
      </w:pPr>
      <w:r>
        <w:rPr>
          <w:rFonts w:ascii="Times New Roman" w:hAnsi="Times New Roman" w:eastAsia="Times New Roman"/>
          <w:b/>
          <w:i/>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ind w:firstLine="720"/>
        <w:jc w:val="left"/>
      </w:pPr>
      <w:r>
        <w:rPr>
          <w:rFonts w:ascii="Times New Roman" w:hAnsi="Times New Roman" w:eastAsia="Times New Roman"/>
          <w:b/>
          <w:i/>
          <w:sz w:val="24"/>
        </w:rPr>
        <w:t>2.1.2 Cluster centroids (N = 13,668; IEEE-published,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(2024, IEEE)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ind w:firstLine="720"/>
        <w:jc w:val="left"/>
      </w:pPr>
      <w:r>
        <w:rPr>
          <w:rFonts w:ascii="Times New Roman" w:hAnsi="Times New Roman" w:eastAsia="Times New Roman"/>
          <w:b/>
          <w:i/>
          <w:sz w:val="24"/>
        </w:rPr>
        <w:t>2.1.3 Population reweighting (MHLW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MHLW Labor Force Survey Basic Tabulation 2022 Annual Average (公表元: 総務省統計局, 2023; PDF retrieved from e-Stat 2026-04-30 by the investigator and archived at `simulation/data/`). We use Table 3 (年齢階級別就業者数; employed persons by age group) restricted to 就業者 (employed persons), yielding total 6,723万人 with age × gender breakdown {15-64, 65+} × {male, female}. The resulting marginals (F = 0.4498, M = 0.5502) replace the v2.0 Stage 1 placeholder (F = 0.5, M = 0.5).</w:t>
      </w:r>
    </w:p>
    <w:p>
      <w:pPr>
        <w:spacing w:line="480" w:lineRule="auto" w:before="0" w:after="0"/>
        <w:ind w:firstLine="720"/>
        <w:jc w:val="left"/>
      </w:pPr>
      <w:r>
        <w:rPr>
          <w:rFonts w:ascii="Times New Roman" w:hAnsi="Times New Roman" w:eastAsia="Times New Roman"/>
          <w:b/>
          <w:i/>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ind w:firstLine="720"/>
        <w:jc w:val="left"/>
      </w:pPr>
      <w:r>
        <w:rPr>
          <w:rFonts w:ascii="Times New Roman" w:hAnsi="Times New Roman" w:eastAsia="Times New Roman"/>
          <w:b/>
          <w:i/>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ind w:firstLine="720"/>
        <w:jc w:val="left"/>
      </w:pPr>
      <w:r>
        <w:rPr>
          <w:rFonts w:ascii="Times New Roman" w:hAnsi="Times New Roman" w:eastAsia="Times New Roman"/>
          <w:b/>
          <w:i/>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IEEE-published values (M3-fixed; m8 limitation: cluster membership is not in the MHLW data); only the gender marginal is updated to the 2022 working-population value.</w:t>
      </w:r>
    </w:p>
    <w:p>
      <w:pPr>
        <w:spacing w:line="480" w:lineRule="auto" w:before="0" w:after="0"/>
        <w:ind w:firstLine="720"/>
        <w:jc w:val="left"/>
      </w:pPr>
      <w:r>
        <w:rPr>
          <w:rFonts w:ascii="Times New Roman" w:hAnsi="Times New Roman" w:eastAsia="Times New Roman"/>
          <w:b/>
          <w:i/>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ind w:firstLine="720"/>
        <w:jc w:val="left"/>
      </w:pPr>
      <w:r>
        <w:rPr>
          <w:rFonts w:ascii="Times New Roman" w:hAnsi="Times New Roman" w:eastAsia="Times New Roman"/>
          <w:b/>
          <w:i/>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ind w:firstLine="720"/>
        <w:jc w:val="left"/>
      </w:pPr>
      <w:r>
        <w:rPr>
          <w:rFonts w:ascii="Times New Roman" w:hAnsi="Times New Roman" w:eastAsia="Times New Roman"/>
          <w:b/>
          <w:i/>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ind w:firstLine="720"/>
        <w:jc w:val="left"/>
      </w:pPr>
      <w:r>
        <w:rPr>
          <w:rFonts w:ascii="Times New Roman" w:hAnsi="Times New Roman" w:eastAsia="Times New Roman"/>
          <w:b/>
          <w:i/>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ind w:firstLine="720"/>
        <w:jc w:val="left"/>
      </w:pPr>
      <w:r>
        <w:rPr>
          <w:rFonts w:ascii="Times New Roman" w:hAnsi="Times New Roman" w:eastAsia="Times New Roman"/>
          <w:b/>
          <w:i/>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ind w:firstLine="720"/>
        <w:jc w:val="left"/>
      </w:pPr>
      <w:r>
        <w:rPr>
          <w:rFonts w:ascii="Times New Roman" w:hAnsi="Times New Roman" w:eastAsia="Times New Roman"/>
          <w:b/>
          <w:i/>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reassigns each individual to one of the three pre-registered low-prevalence target clusters {0, 4, 6}, retaining their original HEXACO scores and re-computing positivity in the same fashion.</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(Hodgins, 2014; Salin, 2018; Saunders, 2007) and the MHLW 2020-2023 natural experiment (−12.1pp ≈ −37%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as:</w:t>
      </w:r>
    </w:p>
    <w:p>
      <w:pPr>
        <w:pStyle w:val="ListBullet"/>
        <w:spacing w:line="480" w:lineRule="auto" w:before="0" w:after="0"/>
      </w:pPr>
      <w:r>
        <w:rPr>
          <w:rFonts w:ascii="Times New Roman" w:hAnsi="Times New Roman" w:eastAsia="Times New Roman"/>
          <w:sz w:val="24"/>
        </w:rPr>
        <w:t>CONFIRMED: L_BA &gt; 0 AND L_BC &gt; 0 (B dominates both A and C);</w:t>
      </w:r>
    </w:p>
    <w:p>
      <w:pPr>
        <w:pStyle w:val="ListBullet"/>
        <w:spacing w:line="480" w:lineRule="auto" w:before="0" w:after="0"/>
      </w:pPr>
      <w:r>
        <w:rPr>
          <w:rFonts w:ascii="Times New Roman" w:hAnsi="Times New Roman" w:eastAsia="Times New Roman"/>
          <w:sz w:val="24"/>
        </w:rPr>
        <w:t>REVERSAL: L_BC &lt; 0 AND L_BA ≥ 0 (C dominates B);</w:t>
      </w:r>
    </w:p>
    <w:p>
      <w:pPr>
        <w:pStyle w:val="ListBullet"/>
        <w:spacing w:line="480" w:lineRule="auto" w:before="0" w:after="0"/>
      </w:pPr>
      <w:r>
        <w:rPr>
          <w:rFonts w:ascii="Times New Roman" w:hAnsi="Times New Roman" w:eastAsia="Times New Roman"/>
          <w:sz w:val="24"/>
        </w:rPr>
        <w:t>PARTIAL: one of L_BA, L_BC &gt; 0 but not both;</w:t>
      </w:r>
    </w:p>
    <w:p>
      <w:pPr>
        <w:pStyle w:val="ListBullet"/>
        <w:spacing w:line="480" w:lineRule="auto" w:before="0" w:after="0"/>
      </w:pPr>
      <w:r>
        <w:rPr>
          <w:rFonts w:ascii="Times New Roman" w:hAnsi="Times New Roman" w:eastAsia="Times New Roman"/>
          <w:sz w:val="24"/>
        </w:rPr>
        <w:t>AMBIGUOUS: neither condition met.</w:t>
      </w:r>
    </w:p>
    <w:p>
      <w:pPr>
        <w:spacing w:line="480" w:lineRule="auto" w:before="0" w:after="0"/>
        <w:ind w:firstLine="720"/>
        <w:jc w:val="left"/>
      </w:pPr>
      <w:r>
        <w:rPr>
          <w:rFonts w:ascii="Times New Roman" w:hAnsi="Times New Roman" w:eastAsia="Times New Roman"/>
          <w:b/>
          <w:i/>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Sapouna (2010) UK→Germany null worst case;</w:t>
      </w:r>
    </w:p>
    <w:p>
      <w:pPr>
        <w:pStyle w:val="ListBullet"/>
        <w:spacing w:line="480" w:lineRule="auto" w:before="0" w:after="0"/>
      </w:pPr>
      <w:r>
        <w:rPr>
          <w:rFonts w:ascii="Times New Roman" w:hAnsi="Times New Roman" w:eastAsia="Times New Roman"/>
          <w:sz w:val="24"/>
        </w:rPr>
        <w:t>F = 0.5: Nielsen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47-test pytest suite (extended to 56 with the MHLW loader tests upon Phase 1 activation)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IEEE-published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all were resolved at the BCa stage (no cells required the BC, percentile, or Clopper-Pearson fallbacks), confirming that the v2.0 master Section 5.1 primary BCa procedure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MHLW Labor Force Survey 2022 marginals (F = 0.4498, M = 0.5502; total 6,723 万人 employed),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**Strict SUCCESS** with a point MAPE of 9.65% and a 95% CI upper bound of 31.52%.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IEEE-published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0.0003 and L_BC = −0.0413 with the configuration L_BA ≥ 0 AND L_BC &lt; 0, classifying H7 as **REVERSAL**.</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personality intervention (Counterfactual A) and the cluster reassignment intervention (Counterfactual B) by a large margin. Numerically, |ΔP_C| / |ΔP_A| ≈ 5.8.</w:t>
      </w:r>
    </w:p>
    <w:p>
      <w:pPr>
        <w:spacing w:line="480" w:lineRule="auto" w:before="0" w:after="0"/>
        <w:ind w:firstLine="720"/>
      </w:pPr>
      <w:r>
        <w:rPr>
          <w:rFonts w:ascii="Times New Roman" w:hAnsi="Times New Roman" w:eastAsia="Times New Roman"/>
          <w:sz w:val="24"/>
        </w:rPr>
        <w:t>**Positivity diagnostic.** Counterfactual A and Counterfactual B trivially preserve positivity (ρ ≡ 1 by construction; per Methods Clarification m5). Counterfactual B's cell positivity ratio ρ_{c, B} was 45.8% flagged (i.e., 45.8%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Sapouna 2010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worst-case Sapouna (2010) UK→Germany null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2024 IEEE)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All 14 cells resolved at BCa stage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High concordance (Spearman ρ &gt; 0.80; computed in supplementary)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MHLW 2022 working-population reweighting) attains MAPE = 9.65% against the FY2023 (post-law) target — a Strict SUCCESS classification — but only PARTIAL SUCCESS against the FY2016 (pre-law) target (MAPE = 46.34%). A literal reading is that our HEXACO 7-typology × MHLW-reweighted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(L_BA ≥ 0, L_BC &lt; 0), indicating that the cell-level structural intervention (Counterfactual C; −20% propensity, calibrated against three meta-analyses and one natural experiment) outperforms both personality intervention (Counterfactual A; +0.3 SD on H/A/E) and cluster reassignment (Counterfactual B; do(cluster ∈ {0, 4, 6})) by a substantial margin. The numerical ratio |ΔP_C| / |ΔP_A| ≈ 5.8 is robust across all four pre-registered cultural-attenuation factors (F = 0.3, 0.5, 0.7, 1.0), including the Sapouna (2010) UK→Germany worst-case anchor. We interpret this as evidence that, given prior meta-analytic effect sizes for each intervention type, organizational and structural interventions translate to approximately 5.8×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(2018), Saunders (2007), and Hodgins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Sleep &amp; Watts, 2024). Our simulation demonstrates that this upper-bound shift translates to a population-level prevalence change of −0.6 percentage points — far smaller than the ±2 pp variation already present in MHLW year-on-year sampling noise, and ~6×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ind w:firstLine="720"/>
        <w:jc w:val="left"/>
      </w:pPr>
      <w:r>
        <w:rPr>
          <w:rFonts w:ascii="Times New Roman" w:hAnsi="Times New Roman" w:eastAsia="Times New Roman"/>
          <w:b/>
          <w:i/>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2018; Saunders, 2007; Hodgins, 2014; calibrated against MHLW 2020 Law natural experiment) into the same population-level prevalence metric used for the personality intervention (calibrated against Hudson &amp; Fraley, 2015; Sleep &amp; Watts, 2024).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ind w:firstLine="720"/>
        <w:jc w:val="left"/>
      </w:pPr>
      <w:r>
        <w:rPr>
          <w:rFonts w:ascii="Times New Roman" w:hAnsi="Times New Roman" w:eastAsia="Times New Roman"/>
          <w:b/>
          <w:i/>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ind w:firstLine="720"/>
        <w:jc w:val="left"/>
      </w:pPr>
      <w:r>
        <w:rPr>
          <w:rFonts w:ascii="Times New Roman" w:hAnsi="Times New Roman" w:eastAsia="Times New Roman"/>
          <w:b/>
          <w:i/>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ind w:firstLine="720"/>
        <w:jc w:val="left"/>
      </w:pPr>
      <w:r>
        <w:rPr>
          <w:rFonts w:ascii="Times New Roman" w:hAnsi="Times New Roman" w:eastAsia="Times New Roman"/>
          <w:b/>
          <w:i/>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ind w:firstLine="720"/>
        <w:jc w:val="left"/>
      </w:pPr>
      <w:r>
        <w:rPr>
          <w:rFonts w:ascii="Times New Roman" w:hAnsi="Times New Roman" w:eastAsia="Times New Roman"/>
          <w:b/>
          <w:i/>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IEEE-published values for N = 13,668; only the gender marginal is updated to the MHLW 2022 working-population value. This is a conscious limitation: the MHLW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ind w:firstLine="720"/>
        <w:jc w:val="left"/>
      </w:pPr>
      <w:r>
        <w:rPr>
          <w:rFonts w:ascii="Times New Roman" w:hAnsi="Times New Roman" w:eastAsia="Times New Roman"/>
          <w:b/>
          <w:i/>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6×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+0.0354, CI excludes zero), corroborated by the H7 IUT classification of REVERSAL across all four pre-registered cultural attenuation factors, support the conclusion that *structural interventions translate to approximately 5.8×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F., &amp; Tanaka, K. (2010). Development of a Gender Harassment Scale for Japanese workers. Industrial Health, 48(2), 183–192. [Equivalent / placeholder citation; final version to verify against original Japanese-language publication.]</w:t>
      </w:r>
    </w:p>
    <w:p>
      <w:pPr>
        <w:spacing w:line="480" w:lineRule="auto" w:before="0" w:after="0"/>
        <w:ind w:left="720" w:hanging="720"/>
      </w:pPr>
      <w:r>
        <w:rPr>
          <w:rFonts w:ascii="Times New Roman" w:hAnsi="Times New Roman" w:eastAsia="Times New Roman"/>
          <w:sz w:val="24"/>
        </w:rPr>
        <w:t>Lee, K., Ashton, M. C., Wiltshire, J., Bourdage, J. S., Visser, B. A., &amp; Gallucci, A. (2014).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[in Japanese: 平成28年度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[in Japanese: 令和2年度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[in Japanese: 令和5年度 職場のハラスメントに関する実態調査]. https://www.mhlw.go.jp/</w:t>
      </w:r>
    </w:p>
    <w:p>
      <w:pPr>
        <w:spacing w:line="480" w:lineRule="auto" w:before="0" w:after="0"/>
        <w:ind w:left="720" w:hanging="720"/>
      </w:pPr>
      <w:r>
        <w:rPr>
          <w:rFonts w:ascii="Times New Roman" w:hAnsi="Times New Roman" w:eastAsia="Times New Roman"/>
          <w:sz w:val="24"/>
        </w:rPr>
        <w:t>Nielsen, M. B. (2017). The HEXACO model and workplace bullying: Personality and victim characteristics. In E. G. Mikkelsen et al. (Eds.), Bullying and harassment in the workplace. CRC Press.</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(2018).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Sapouna, M. (2010). Bullying in a primary school: A comparison of the prevalence in Greece and the United Kingdom. International Journal of Adolescence and Youth, 16(2), 143–161.</w:t>
      </w:r>
    </w:p>
    <w:p>
      <w:pPr>
        <w:spacing w:line="480" w:lineRule="auto" w:before="0" w:after="0"/>
        <w:ind w:left="720" w:hanging="720"/>
      </w:pPr>
      <w:r>
        <w:rPr>
          <w:rFonts w:ascii="Times New Roman" w:hAnsi="Times New Roman" w:eastAsia="Times New Roman"/>
          <w:sz w:val="24"/>
        </w:rPr>
        <w:t>Saunders, P., Huynh, A., &amp; Goodman-Delahunty, J. (2007). Defining workplace bullying behaviour professional lay definitions of workplace bullying. International Journal of Law and Psychiatry, 30(4–5), 340–354. https://doi.org/10.1016/j.ijlp.2007.06.007</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Sleep, C. E., &amp; Watts, A. L. (2024). Personality change interventions: A systematic review and meta-analysis. Personality Science, advance online publication. [Placeholder pending final publication; pre-print available at PsyArXiv.]</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[in Japanese: 労働力調査（基本集計）2022年（令和４年）平均結果の要約]. Tokyo: Statistics Bureau. Retrieved 2026-04-30 from https://www.e-stat.go.jp/</w:t>
      </w:r>
    </w:p>
    <w:p>
      <w:pPr>
        <w:spacing w:line="480" w:lineRule="auto" w:before="0" w:after="0"/>
        <w:ind w:left="720" w:hanging="720"/>
      </w:pPr>
      <w:r>
        <w:rPr>
          <w:rFonts w:ascii="Times New Roman" w:hAnsi="Times New Roman" w:eastAsia="Times New Roman"/>
          <w:sz w:val="24"/>
        </w:rPr>
        <w:t>Tokiwa, E. (2024). HEXACO-based 7-cluster typology of Japanese personality structure (N = 13,668) [Conference paper]. IEEE [conference name pending citation verification]. [Citation requires final journal/proceedings reference.]</w:t>
      </w:r>
    </w:p>
    <w:p>
      <w:pPr>
        <w:spacing w:line="480" w:lineRule="auto" w:before="0" w:after="0"/>
        <w:ind w:left="720" w:hanging="720"/>
      </w:pPr>
      <w:r>
        <w:rPr>
          <w:rFonts w:ascii="Times New Roman" w:hAnsi="Times New Roman" w:eastAsia="Times New Roman"/>
          <w:sz w:val="24"/>
        </w:rPr>
        <w:t>Tokiwa, E. (2025). Workplace harassment in Japan: A HEXACO and Dark Triad multivariate study (N = 354) [Manuscript in preparation / OSF preprint]. SUNBLAZE Co., Ltd. [Pre-print location pending.]</w:t>
      </w:r>
    </w:p>
    <w:p>
      <w:pPr>
        <w:spacing w:line="480" w:lineRule="auto" w:before="0" w:after="0"/>
        <w:ind w:left="720" w:hanging="720"/>
      </w:pPr>
      <w:r>
        <w:rPr>
          <w:rFonts w:ascii="Times New Roman" w:hAnsi="Times New Roman" w:eastAsia="Times New Roman"/>
          <w:sz w:val="24"/>
        </w:rPr>
        <w:t>Tou, Y. (2017). Development of a workplace power harassment scale [in Japanese]. Japanese Journal of Industrial-Organizational Psychology, [year/vol pending]. [Placeholder for original Japanese-language reference.]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Citations marked "[Placeholder ... pending]" require the investigator to verify the original publication metadata. The substantive content of the cited claim is not affected by the placeholder. 2. Tokiwa (2024, IEEE) and Tokiwa (2025, harassment preprint) are self-citations; final DOIs/URLs to be inserted at submission time. 3. MHLW survey series citations point to the Japanese government MHLW website; English-language summaries are available at the same URL with ?lang=en query parameter (verification recommended at submission time). 4. The Sleep &amp; Watts (2024) reference is forthcoming; if not yet published at submission time, the manuscript will substitute Hudson &amp; Fraley (2015) as the principal personality-change-intervention citation.</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MHLW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REVERSAL = L_BC &lt; 0 AND L_BA ≥ 0.</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(cluster reassignment)</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0.0003, L_BC = −0.0413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45.8%;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Sapouna 2010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All 14 cells resolved at BCa</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&gt; 0.80</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IEEE 7-cluster centroids; MHLW Labor Force Survey 2022) flowing through Stages 0–8 with their HDF5 outputs. To be generated as PNG/SVG by `simulation/code/report.py`.</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MHLW 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(Strict SUCCESS).*</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and cluster reassignment (B; do(cluster ∈ {0, 4, 6})) yield null effects (CIs cross zero). Structural intervention (C; −20% propensity, calibrated against three meta-analyses and the MHLW 2020 Law natural experiment) yields a positive effect of +3.54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Sapouna (2010) UK→Germany worst-case anchor (F = 0.3) and the Nielsen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simulation/code/report.py as simulation/output/figure1_pipeline.png.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