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Personality Interventions Don't Work; Structural Ones Do: Counterfactual Evidence from a HEXACO 7-Typology Workplace Harassment Microsimulation in Japan</w:t>
      </w:r>
    </w:p>
    <w:p>
      <w:pPr>
        <w:spacing w:line="480" w:lineRule="auto" w:before="0" w:after="0"/>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i/>
          <w:sz w:val="24"/>
        </w:rPr>
        <w:t>SUNBLAZE Co., Ltd., Tokyo, Japan</w:t>
      </w:r>
    </w:p>
    <w:p>
      <w:pPr>
        <w:spacing w:line="480" w:lineRule="auto" w:before="0" w:after="0"/>
        <w:jc w:val="center"/>
      </w:pPr>
      <w:r>
        <w:rPr>
          <w:rFonts w:ascii="Times New Roman" w:hAnsi="Times New Roman" w:eastAsia="Times New Roman"/>
          <w:sz w:val="24"/>
        </w:rPr>
        <w:t>ORCID: 0009-0009-7124-6669</w:t>
      </w:r>
    </w:p>
    <w:p>
      <w:pPr>
        <w:spacing w:line="480" w:lineRule="auto" w:before="0" w:after="0"/>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pPr>
        <w:spacing w:line="480" w:lineRule="auto" w:before="0" w:after="0"/>
        <w:ind w:firstLine="720"/>
      </w:pPr>
      <w:r>
        <w:rPr>
          <w:rFonts w:ascii="Times New Roman" w:hAnsi="Times New Roman" w:eastAsia="Times New Roman"/>
          <w:sz w:val="24"/>
        </w:rPr>
        <w:t>Pre-registration: OSF DOI 10.17605/OSF.IO/3Y54U (https://osf.io/3y54u). Code, data, and intermediate artifacts are publicly archived under MIT license at https://github.com/etoki/paper.</w:t>
      </w:r>
    </w:p>
    <w:p>
      <w:pPr>
        <w:spacing w:line="480" w:lineRule="auto" w:before="0" w:after="0"/>
      </w:pPr>
    </w:p>
    <w:p>
      <w:r>
        <w:br w:type="page"/>
      </w:r>
    </w:p>
    <w:p>
      <w:pPr>
        <w:spacing w:line="480" w:lineRule="auto" w:before="0" w:after="0"/>
        <w:jc w:val="center"/>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Funding</w:t>
      </w:r>
    </w:p>
    <w:p>
      <w:pPr>
        <w:spacing w:line="480" w:lineRule="auto" w:before="0" w:after="0"/>
        <w:ind w:firstLine="720"/>
      </w:pPr>
      <w:r>
        <w:rPr>
          <w:rFonts w:ascii="Times New Roman" w:hAnsi="Times New Roman" w:eastAsia="Times New Roman"/>
          <w:sz w:val="24"/>
        </w:rPr>
        <w:t>This research was self-funded by SUNBLAZE Co., Ltd. No external funding was received.</w:t>
      </w:r>
    </w:p>
    <w:p>
      <w:pPr>
        <w:spacing w:line="480" w:lineRule="auto" w:before="0" w:after="0"/>
      </w:pPr>
      <w:r>
        <w:rPr>
          <w:rFonts w:ascii="Times New Roman" w:hAnsi="Times New Roman" w:eastAsia="Times New Roman"/>
          <w:b/>
          <w:sz w:val="24"/>
        </w:rPr>
        <w:t>Conflicts of interest</w:t>
      </w:r>
    </w:p>
    <w:p>
      <w:pPr>
        <w:spacing w:line="480" w:lineRule="auto" w:before="0" w:after="0"/>
        <w:ind w:firstLine="720"/>
      </w:pPr>
      <w:r>
        <w:rPr>
          <w:rFonts w:ascii="Times New Roman" w:hAnsi="Times New Roman" w:eastAsia="Times New Roman"/>
          <w:sz w:val="24"/>
        </w:rPr>
        <w:t>The author declares no competing interests.</w:t>
      </w:r>
    </w:p>
    <w:p>
      <w:pPr>
        <w:spacing w:line="480" w:lineRule="auto" w:before="0" w:after="0"/>
      </w:pPr>
      <w:r>
        <w:rPr>
          <w:rFonts w:ascii="Times New Roman" w:hAnsi="Times New Roman" w:eastAsia="Times New Roman"/>
          <w:b/>
          <w:sz w:val="24"/>
        </w:rPr>
        <w:t>Author contributions</w:t>
      </w:r>
    </w:p>
    <w:p>
      <w:pPr>
        <w:spacing w:line="480" w:lineRule="auto" w:before="0" w:after="0"/>
        <w:ind w:firstLine="720"/>
      </w:pPr>
      <w:r>
        <w:rPr>
          <w:rFonts w:ascii="Times New Roman" w:hAnsi="Times New Roman" w:eastAsia="Times New Roman"/>
          <w:sz w:val="24"/>
        </w:rPr>
        <w:t>The author (sole-authored) was responsible for conceptualization, methodology, software, formal analysis, investigation, data curation, writing — original draft, and writing — review &amp; editing.</w:t>
      </w:r>
    </w:p>
    <w:p>
      <w:pPr>
        <w:spacing w:line="480" w:lineRule="auto" w:before="0" w:after="0"/>
      </w:pPr>
      <w:r>
        <w:rPr>
          <w:rFonts w:ascii="Times New Roman" w:hAnsi="Times New Roman" w:eastAsia="Times New Roman"/>
          <w:b/>
          <w:sz w:val="24"/>
        </w:rPr>
        <w:t>Data and code availability</w:t>
      </w:r>
    </w:p>
    <w:p>
      <w:pPr>
        <w:spacing w:line="480" w:lineRule="auto" w:before="0" w:after="0"/>
        <w:ind w:firstLine="720"/>
      </w:pPr>
      <w:r>
        <w:rPr>
          <w:rFonts w:ascii="Times New Roman" w:hAnsi="Times New Roman" w:eastAsia="Times New Roman"/>
          <w:sz w:val="24"/>
        </w:rPr>
        <w:t>All code, data, and intermediate artifacts are publicly archived under MIT license at https://github.com/etoki/paper (directory: simulation/) and at OSF DOI 10.17605/OSF.IO/3Y54U (https://osf.io/3y54u). Reproducibility is verified via SHA-256 hash comparison against the v2.0 OSF registration.</w:t>
      </w:r>
    </w:p>
    <w:p>
      <w:pPr>
        <w:spacing w:line="480" w:lineRule="auto" w:before="0" w:after="0"/>
      </w:pPr>
      <w:r>
        <w:rPr>
          <w:rFonts w:ascii="Times New Roman" w:hAnsi="Times New Roman" w:eastAsia="Times New Roman"/>
          <w:b/>
          <w:sz w:val="24"/>
        </w:rPr>
        <w:t>Ethics statement</w:t>
      </w:r>
    </w:p>
    <w:p>
      <w:pPr>
        <w:spacing w:line="480" w:lineRule="auto" w:before="0" w:after="0"/>
        <w:ind w:firstLine="720"/>
      </w:pPr>
      <w:r>
        <w:rPr>
          <w:rFonts w:ascii="Times New Roman" w:hAnsi="Times New Roman" w:eastAsia="Times New Roman"/>
          <w:sz w:val="24"/>
        </w:rPr>
        <w:t>The N=354 individual-level harassment data analyzed in this study were collected under an IRB-approved protocol (Tokiwa, 2025, harassment preprint). Analysis of de-identified data does not require additional ethics review under SUNBLAZE Co., Ltd. policy.</w:t>
      </w:r>
    </w:p>
    <w:p>
      <w:r>
        <w:br w:type="page"/>
      </w:r>
    </w:p>
    <w:p>
      <w:pPr>
        <w:spacing w:line="480" w:lineRule="auto" w:before="0" w:after="0"/>
        <w:jc w:val="left"/>
      </w:pPr>
      <w:r>
        <w:rPr>
          <w:rFonts w:ascii="Times New Roman" w:hAnsi="Times New Roman" w:eastAsia="Times New Roman"/>
          <w:b/>
          <w:sz w:val="24"/>
        </w:rPr>
        <w:t>Abstract (≈ 250 words)</w:t>
      </w:r>
    </w:p>
    <w:p>
      <w:pPr>
        <w:spacing w:line="480" w:lineRule="auto" w:before="0" w:after="0"/>
        <w:ind w:firstLine="720"/>
      </w:pPr>
      <w:r>
        <w:rPr>
          <w:rFonts w:ascii="Times New Roman" w:hAnsi="Times New Roman" w:eastAsia="Times New Roman"/>
          <w:sz w:val="24"/>
        </w:rPr>
        <w:t>Workplace harassment imposes substantial public-health and economic costs in Japan, with Ministry of Health, Labour and Welfare (MHLW) surveys documenting past-three-year power-harassment victimization rates of 32.5% (FY2016) declining to 19.3% (FY2023) following the 2020 Power Harassment Prevention Law. Whether this decline can be attributed to structural intervention, and whether person-level personality interventions could achieve comparable effects, remains an open empirical question. We pre-registered (OSF DOI 10.17605/OSF.IO/3Y54U) a 7-typology HEXACO microsimulation that emulates a target trial of three counterfactual interventions: (A) personality training that shifts Honesty-Humility, Agreeableness, and Emotionality by +0.3 SD; (B) cluster reassignment to three low-prevalence HEXACO typologies; and (C) structural reform that reduces cell-level harassment propensity by 20%, calibrated against three prior meta-analyses. Using N = 354 individual-level survey data partitioned into 14 cells (7 HEXACO typologies × 2 genders) with cell-stratified bootstrap (B = 10,000), Beta-Binomial empirical Bayes shrinkage, and four-step BCa confidence interval cascade, we report that ΔP_A = −0.0061 (95% CI [−0.0199, +0.0054]) and ΔP_B = −0.0058 (95% CI [−0.0199, +0.0056]) are both null, whereas ΔP_C = −0.0354 (95% CI [+0.0266, +0.0445]) is positive and statistically robust. The intersection-union test classifies this configuration as REVERSAL, indicating structural intervention dominance over personality intervention by approximately 5.8×. Sensitivity sweeps confirm robustness across cultural attenuation factors of 0.3–1.0 and across nine pre-registered analytic choices. We interpret HEXACO 7-typology as a stratification variable, not an intervention target, and reject victim-blaming framings of harassment exposure.</w:t>
      </w:r>
    </w:p>
    <w:p>
      <w:pPr>
        <w:spacing w:line="480" w:lineRule="auto" w:before="0" w:after="0"/>
        <w:ind w:firstLine="720"/>
      </w:pPr>
      <w:r>
        <w:rPr>
          <w:rFonts w:ascii="Times New Roman" w:hAnsi="Times New Roman" w:eastAsia="Times New Roman"/>
          <w:sz w:val="24"/>
        </w:rPr>
        <w:t>**Keywords**: workplace harassment; HEXACO; counterfactual simulation; target trial emulation; Japan; pre-registration; structural intervention; personality intervention; 2020 Power Harassment Prevention Law</w:t>
      </w:r>
    </w:p>
    <w:p>
      <w:pPr>
        <w:spacing w:line="480" w:lineRule="auto" w:before="0" w:after="0"/>
        <w:jc w:val="left"/>
      </w:pPr>
      <w:r>
        <w:rPr>
          <w:rFonts w:ascii="Times New Roman" w:hAnsi="Times New Roman" w:eastAsia="Times New Roman"/>
          <w:b/>
          <w:sz w:val="24"/>
        </w:rPr>
        <w:t>1. Introduction</w:t>
      </w:r>
    </w:p>
    <w:p>
      <w:pPr>
        <w:spacing w:line="480" w:lineRule="auto" w:before="0" w:after="0"/>
        <w:ind w:firstLine="720"/>
        <w:jc w:val="left"/>
      </w:pPr>
      <w:r>
        <w:rPr>
          <w:rFonts w:ascii="Times New Roman" w:hAnsi="Times New Roman" w:eastAsia="Times New Roman"/>
          <w:b/>
          <w:i/>
          <w:sz w:val="24"/>
        </w:rPr>
        <w:t>1.1 Workplace harassment as a public-health and policy problem.</w:t>
      </w:r>
    </w:p>
    <w:p>
      <w:pPr>
        <w:spacing w:line="480" w:lineRule="auto" w:before="0" w:after="0"/>
        <w:ind w:firstLine="720"/>
      </w:pPr>
      <w:r>
        <w:rPr>
          <w:rFonts w:ascii="Times New Roman" w:hAnsi="Times New Roman" w:eastAsia="Times New Roman"/>
          <w:sz w:val="24"/>
        </w:rPr>
        <w:t>Workplace harassment is a leading driver of psychiatric morbidity, voluntary turnover, and lost productivity in industrialized economies (Hershcovis &amp; Barling, 2010; Salin, 2003). In Japan, the Ministry of Health, Labour and Welfare (MHLW; 厚生労働省) has documented past-three-year power-harassment victimization rates of 32.5% in FY2016, 31.4% in FY2020, and 19.3% in FY2023 (MHLW, 2017, 2021, 2024). The 13.2 percentage-point decline between FY2016 and FY2023 coincides closely with the staged enforcement of the 2020 Power Harassment Prevention Law (パワーハラスメント防止法), which mandated formal anti-harassment policies, employee-accessible reporting channels, and prohibited retaliation against complainants — first for large enterprises in June 2020, and subsequently extended to small-and-medium enterprises in April 2022. This natural experiment offers a rare opportunity to interrogate what types of intervention reduce harassment, and at what scale.</w:t>
      </w:r>
    </w:p>
    <w:p>
      <w:pPr>
        <w:spacing w:line="480" w:lineRule="auto" w:before="0" w:after="0"/>
        <w:ind w:firstLine="720"/>
      </w:pPr>
      <w:r>
        <w:rPr>
          <w:rFonts w:ascii="Times New Roman" w:hAnsi="Times New Roman" w:eastAsia="Times New Roman"/>
          <w:sz w:val="24"/>
        </w:rPr>
        <w:t>A long-standing controversy in workplace-psychology research concerns whether to allocate prevention resources toward person-level interventions — for example, personality training, mindset coaching, or hiring screens designed to filter out individuals with traits associated with harassment perpetration — versus system-level interventions that modify organizational structure, accountability mechanisms, and power asymmetries (Mikkelsen et al., 2020; Salin, 2018). The former approach assumes that harassment is largely driven by individual disposition; the latter, that it is largely driven by environmental affordance. Despite extensive research linking personality traits to bullying and harassment (Nielsen, 2017; Pilch &amp; Turska, 2015), the relative population-level efficacy of person-level versus system-level interventions has not been quantitatively compared in a counterfactually rigorous framework.</w:t>
      </w:r>
    </w:p>
    <w:p>
      <w:pPr>
        <w:spacing w:line="480" w:lineRule="auto" w:before="0" w:after="0"/>
        <w:ind w:firstLine="720"/>
        <w:jc w:val="left"/>
      </w:pPr>
      <w:r>
        <w:rPr>
          <w:rFonts w:ascii="Times New Roman" w:hAnsi="Times New Roman" w:eastAsia="Times New Roman"/>
          <w:b/>
          <w:i/>
          <w:sz w:val="24"/>
        </w:rPr>
        <w:t>1.2 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Matthiesen, Nielsen, &amp; Einarsen, 2007; Lee et al., 2014; Linton &amp; Power, 2013; Nielsen, 2017). However, the magnitude of these associations is generally modest (uncorrected r typically in the range 0.10–0.30; Nielsen, 2017), and recent meta-analyses suggest considerable cross-cultural heterogeneity, with effect sizes attenuated in collectivist relative to individualist cultures (Sapouna, 2010 found a null UK→Germany attenuation pattern in workplace contexts; Nielsen, 2017 reported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In a separately published study, our research group identified seven robust HEXACO clusters in a Japanese sample of N = 13,668 (Tokiwa, 2024, IEEE; herein "the centroid study"). The seven typologies — labeled here as types 0 through 6 — span the joint distribution of HEXACO domains and provide a parsimonious taxonomy for categorizing individuals according to their personality profile. The present study leverages these IEEE-published centroids as fixed parameters for stratifying a smaller harassment-focused subsample (N = 354; Tokiwa, 2025, harassment preprint).</w:t>
      </w:r>
    </w:p>
    <w:p>
      <w:pPr>
        <w:spacing w:line="480" w:lineRule="auto" w:before="0" w:after="0"/>
        <w:ind w:firstLine="720"/>
      </w:pPr>
      <w:r>
        <w:rPr>
          <w:rFonts w:ascii="Times New Roman" w:hAnsi="Times New Roman" w:eastAsia="Times New Roman"/>
          <w:sz w:val="24"/>
        </w:rPr>
        <w:t>**A critical reframing.** The role of HEXACO in this study is *not* to identify who should be subjected to personality interventions. Rather, HEXACO 7-typology serves as a *stratification variable*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*not* the dominant one — namely, by testing whether shifting individuals' HEXACO scores reduces aggregate prevalence — but is not designed to adjudicate among the remaining alternatives.</w:t>
      </w:r>
    </w:p>
    <w:p>
      <w:pPr>
        <w:spacing w:line="480" w:lineRule="auto" w:before="0" w:after="0"/>
        <w:ind w:firstLine="720"/>
        <w:jc w:val="left"/>
      </w:pPr>
      <w:r>
        <w:rPr>
          <w:rFonts w:ascii="Times New Roman" w:hAnsi="Times New Roman" w:eastAsia="Times New Roman"/>
          <w:b/>
          <w:i/>
          <w:sz w:val="24"/>
        </w:rPr>
        <w:t>1.3 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The present study adopts the framework of *target trial emulation*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Sleep &amp; Watts, 2024).</w:t>
      </w:r>
    </w:p>
    <w:p>
      <w:pPr>
        <w:pStyle w:val="ListBullet"/>
        <w:spacing w:line="480" w:lineRule="auto" w:before="0" w:after="0"/>
      </w:pPr>
      <w:r>
        <w:rPr>
          <w:rFonts w:ascii="Times New Roman" w:hAnsi="Times New Roman" w:eastAsia="Times New Roman"/>
          <w:sz w:val="24"/>
        </w:rPr>
        <w:t>Counterfactual B (cluster reassignment): do(cluster ∈ {0, 4, 6}). Individuals are computationally reassigned to one of three low-harassment-prevalence typologies, retaining their original HEXACO scores. This intervention represents an extreme (and arguably implausible) personality-shift scenario, included as an upper bound on what any person-level intervention could achieve.</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(Hodgins, 2014; Salin, 2018; Saunders, 2007), as well as the empirical −12.1 percentage-point reduction observed in the MHLW survey series during the 2020 Power Harassment Prevention Law's staged enforcement.</w:t>
      </w:r>
    </w:p>
    <w:p>
      <w:pPr>
        <w:spacing w:line="480" w:lineRule="auto" w:before="0" w:after="0"/>
        <w:ind w:firstLine="720"/>
      </w:pPr>
      <w:r>
        <w:rPr>
          <w:rFonts w:ascii="Times New Roman" w:hAnsi="Times New Roman" w:eastAsia="Times New Roman"/>
          <w:sz w:val="24"/>
        </w:rPr>
        <w:t>The asymmetry between A/B and C — namely, that A and B intervene on personality while C intervenes on the propensity-environment pathway — operationalizes the question: *given comparable effect sizes drawn from prior literature on each intervention type, which produces a larger population-level prevalence reduction?*</w:t>
      </w:r>
    </w:p>
    <w:p>
      <w:pPr>
        <w:spacing w:line="480" w:lineRule="auto" w:before="0" w:after="0"/>
        <w:ind w:firstLine="720"/>
        <w:jc w:val="left"/>
      </w:pPr>
      <w:r>
        <w:rPr>
          <w:rFonts w:ascii="Times New Roman" w:hAnsi="Times New Roman" w:eastAsia="Times New Roman"/>
          <w:b/>
          <w:i/>
          <w:sz w:val="24"/>
        </w:rPr>
        <w:t>1.4 Hypotheses.</w:t>
      </w:r>
    </w:p>
    <w:p>
      <w:pPr>
        <w:spacing w:line="480" w:lineRule="auto" w:before="0" w:after="0"/>
        <w:ind w:firstLine="720"/>
      </w:pPr>
      <w:r>
        <w:rPr>
          <w:rFonts w:ascii="Times New Roman" w:hAnsi="Times New Roman" w:eastAsia="Times New Roman"/>
          <w:sz w:val="24"/>
        </w:rPr>
        <w:t>The pre-registration v2.0 (OSF DOI 10.17605/OSF.IO/3Y54U)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MHLW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IEEE-published centroids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ind w:firstLine="720"/>
        <w:jc w:val="left"/>
      </w:pPr>
      <w:r>
        <w:rPr>
          <w:rFonts w:ascii="Times New Roman" w:hAnsi="Times New Roman" w:eastAsia="Times New Roman"/>
          <w:b/>
          <w:i/>
          <w:sz w:val="24"/>
        </w:rPr>
        <w:t>1.5 Contribution and roadmap.</w:t>
      </w:r>
    </w:p>
    <w:p>
      <w:pPr>
        <w:spacing w:line="480" w:lineRule="auto" w:before="0" w:after="0"/>
        <w:ind w:firstLine="720"/>
      </w:pPr>
      <w:r>
        <w:rPr>
          <w:rFonts w:ascii="Times New Roman" w:hAnsi="Times New Roman" w:eastAsia="Times New Roman"/>
          <w:sz w:val="24"/>
        </w:rPr>
        <w:t>This study makes four contributions:</w:t>
      </w:r>
    </w:p>
    <w:p>
      <w:pPr>
        <w:spacing w:line="480" w:lineRule="auto" w:before="0" w:after="0"/>
        <w:ind w:firstLine="720"/>
      </w:pPr>
      <w:r>
        <w:rPr>
          <w:rFonts w:ascii="Times New Roman" w:hAnsi="Times New Roman" w:eastAsia="Times New Roman"/>
          <w:sz w:val="24"/>
        </w:rPr>
        <w:t>1. **Methodological**: It demonstrates an end-to-end pre-registered counterfactual microsimulation pipeline for workplace harassment research, with full reproducibility (HDF5 artifacts, fixed seed = 20260429, Docker container, MIT-licensed code) and open data (N = 354 deposited at OSF; centroids retrieved from IEEE clustering paper supplement). 2. **Empirical**: It provides the first quantitative apples-to-apples comparison of person-level and system-level intervention effects on Japanese workplace harassment prevalence, leveraging effect-size calibrations from prior meta-analyses. 3. **Substantive**: It rejects the conventional reading of HEXACO 7-typology as an intervention target, repositioning it as a stratification lens for identifying differentially exposed populations. 4. **Policy-relevant**: It provides counterfactual evidence that the 2020 Power Harassment Prevention Law's structural mechanism is approximately 5.8× more effective at the population level than the personality-training interventions to which Japanese corporate HR programs allocate the majority of harassment-prevention budget.</w:t>
      </w:r>
    </w:p>
    <w:p>
      <w:pPr>
        <w:spacing w:line="480" w:lineRule="auto" w:before="0" w:after="0"/>
        <w:ind w:firstLine="720"/>
      </w:pPr>
      <w:r>
        <w:rPr>
          <w:rFonts w:ascii="Times New Roman" w:hAnsi="Times New Roman" w:eastAsia="Times New Roman"/>
          <w:sz w:val="24"/>
        </w:rPr>
        <w:t>The remainder of this manuscript is organized as follows. Section 2 details the data sources, sample, and pre-registered analytic procedures.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and sketches future agent-based extensions. Section 5 concludes with policy implications. All code, data, and intermediate artifacts are publicly archived at OSF (DOI 10.17605/OSF.IO/3Y54U) and GitHub (https://github.com/etoki/paper).</w:t>
      </w:r>
    </w:p>
    <w:p>
      <w:r>
        <w:br w:type="page"/>
      </w:r>
    </w:p>
    <w:p>
      <w:pPr>
        <w:spacing w:line="480" w:lineRule="auto" w:before="0" w:after="0"/>
        <w:ind w:firstLine="720"/>
      </w:pPr>
      <w:r>
        <w:rPr>
          <w:rFonts w:ascii="Times New Roman" w:hAnsi="Times New Roman" w:eastAsia="Times New Roman"/>
          <w:sz w:val="24"/>
        </w:rPr>
        <w:t>All procedures were pre-registered at OSF prior to data analysis (DOI 10.17605/OSF.IO/3Y54U; v2.0 locked 2026-05-21). Code, intermediate artifacts (HDF5), random seeds, and Docker containerization are publicly archived at &lt;https://github.com/etoki/paper&gt;. The analysis is fully reproducible via `make reproduce` (~30 minutes on a single core). All stochastic operations use the locked seed 20260429.</w:t>
      </w:r>
    </w:p>
    <w:p>
      <w:pPr>
        <w:spacing w:line="480" w:lineRule="auto" w:before="0" w:after="0"/>
        <w:jc w:val="left"/>
      </w:pPr>
      <w:r>
        <w:rPr>
          <w:rFonts w:ascii="Times New Roman" w:hAnsi="Times New Roman" w:eastAsia="Times New Roman"/>
          <w:b/>
          <w:sz w:val="24"/>
        </w:rPr>
        <w:t>2.1 Data sources</w:t>
      </w:r>
    </w:p>
    <w:p>
      <w:pPr>
        <w:spacing w:line="480" w:lineRule="auto" w:before="0" w:after="0"/>
        <w:ind w:firstLine="720"/>
        <w:jc w:val="left"/>
      </w:pPr>
      <w:r>
        <w:rPr>
          <w:rFonts w:ascii="Times New Roman" w:hAnsi="Times New Roman" w:eastAsia="Times New Roman"/>
          <w:b/>
          <w:i/>
          <w:sz w:val="24"/>
        </w:rPr>
        <w:t>2.1.1 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(Section 2.5) but not in the primary analysis.</w:t>
      </w:r>
    </w:p>
    <w:p>
      <w:pPr>
        <w:pStyle w:val="ListBullet"/>
        <w:spacing w:line="480" w:lineRule="auto" w:before="0" w:after="0"/>
      </w:pPr>
      <w:r>
        <w:rPr>
          <w:rFonts w:ascii="Times New Roman" w:hAnsi="Times New Roman" w:eastAsia="Times New Roman"/>
          <w:sz w:val="24"/>
        </w:rPr>
        <w:t>Workplace Power Harassment Scale (Tou,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ind w:firstLine="720"/>
        <w:jc w:val="left"/>
      </w:pPr>
      <w:r>
        <w:rPr>
          <w:rFonts w:ascii="Times New Roman" w:hAnsi="Times New Roman" w:eastAsia="Times New Roman"/>
          <w:b/>
          <w:i/>
          <w:sz w:val="24"/>
        </w:rPr>
        <w:t>2.1.2 Cluster centroids (N = 13,668; IEEE-published, M3-fixed).</w:t>
      </w:r>
    </w:p>
    <w:p>
      <w:pPr>
        <w:spacing w:line="480" w:lineRule="auto" w:before="0" w:after="0"/>
        <w:ind w:firstLine="720"/>
      </w:pPr>
      <w:r>
        <w:rPr>
          <w:rFonts w:ascii="Times New Roman" w:hAnsi="Times New Roman" w:eastAsia="Times New Roman"/>
          <w:sz w:val="24"/>
        </w:rPr>
        <w:t>Seven HEXACO cluster centroids were taken from the previously published Tokiwa (2024, IEEE) clustering of N = 13,668 Japanese respondents. Per pre-registration v2.0 Methods Clarification M3, these centroids are treated as *fixed parameters*;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ind w:firstLine="720"/>
        <w:jc w:val="left"/>
      </w:pPr>
      <w:r>
        <w:rPr>
          <w:rFonts w:ascii="Times New Roman" w:hAnsi="Times New Roman" w:eastAsia="Times New Roman"/>
          <w:b/>
          <w:i/>
          <w:sz w:val="24"/>
        </w:rPr>
        <w:t>2.1.3 Population reweighting (MHLW Labor Force Survey 2022).</w:t>
      </w:r>
    </w:p>
    <w:p>
      <w:pPr>
        <w:spacing w:line="480" w:lineRule="auto" w:before="0" w:after="0"/>
        <w:ind w:firstLine="720"/>
      </w:pPr>
      <w:r>
        <w:rPr>
          <w:rFonts w:ascii="Times New Roman" w:hAnsi="Times New Roman" w:eastAsia="Times New Roman"/>
          <w:sz w:val="24"/>
        </w:rPr>
        <w:t>Marginal gender-by-age proportions for the Japanese working population were obtained from the MHLW Labor Force Survey Basic Tabulation 2022 Annual Average (公表元: 総務省統計局, 2023; PDF retrieved from e-Stat 2026-04-30 by the investigator and archived at `simulation/data/`). We use Table 3 (年齢階級別就業者数; employed persons by age group) restricted to 就業者 (employed persons), yielding total 6,723万人 with age × gender breakdown {15-64, 65+} × {male, female}. The resulting marginals (F = 0.4498, M = 0.5502) replace the v2.0 Stage 1 placeholder (F = 0.5, M = 0.5).</w:t>
      </w:r>
    </w:p>
    <w:p>
      <w:pPr>
        <w:spacing w:line="480" w:lineRule="auto" w:before="0" w:after="0"/>
        <w:ind w:firstLine="720"/>
        <w:jc w:val="left"/>
      </w:pPr>
      <w:r>
        <w:rPr>
          <w:rFonts w:ascii="Times New Roman" w:hAnsi="Times New Roman" w:eastAsia="Times New Roman"/>
          <w:b/>
          <w:i/>
          <w:sz w:val="24"/>
        </w:rPr>
        <w:t>2.1.4 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left"/>
      </w:pPr>
      <w:r>
        <w:rPr>
          <w:rFonts w:ascii="Times New Roman" w:hAnsi="Times New Roman" w:eastAsia="Times New Roman"/>
          <w:b/>
          <w:sz w:val="24"/>
        </w:rPr>
        <w:t>2.2 Pre-registered analytic pipeline</w:t>
      </w:r>
    </w:p>
    <w:p>
      <w:pPr>
        <w:spacing w:line="480" w:lineRule="auto" w:before="0" w:after="0"/>
        <w:ind w:firstLine="720"/>
      </w:pPr>
      <w:r>
        <w:rPr>
          <w:rFonts w:ascii="Times New Roman" w:hAnsi="Times New Roman" w:eastAsia="Times New Roman"/>
          <w:sz w:val="24"/>
        </w:rPr>
        <w:t>The pipeline comprises nine stages (0 through 8), each producing a versioned HDF5 artifact under `output/supplementary/`.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`code/utils_io.py:make_rng`).</w:t>
      </w:r>
    </w:p>
    <w:p>
      <w:pPr>
        <w:spacing w:line="480" w:lineRule="auto" w:before="0" w:after="0"/>
        <w:ind w:firstLine="720"/>
        <w:jc w:val="left"/>
      </w:pPr>
      <w:r>
        <w:rPr>
          <w:rFonts w:ascii="Times New Roman" w:hAnsi="Times New Roman" w:eastAsia="Times New Roman"/>
          <w:b/>
          <w:i/>
          <w:sz w:val="24"/>
        </w:rPr>
        <w:t>2.2.1 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Methods Clarification M2 also computed soft-assignment with τ ∈ {0.5, 1.0, 2.0} × median nearest-neighbor distance for sensitivity).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classified via the literature-based top 15% on the C + 0.5 × X composite) for the empirical Bayes sensitivity. Per-cell 95% confidence intervals follow the four-step priority cascade (Methods Clarification M4):</w:t>
      </w:r>
    </w:p>
    <w:p>
      <w:pPr>
        <w:spacing w:line="480" w:lineRule="auto" w:before="0" w:after="0"/>
        <w:ind w:firstLine="720"/>
      </w:pPr>
      <w:r>
        <w:rPr>
          <w:rFonts w:ascii="Times New Roman" w:hAnsi="Times New Roman" w:eastAsia="Times New Roman"/>
          <w:sz w:val="24"/>
        </w:rPr>
        <w:t>1. **Clopper-Pearson** exact binomial interval for degenerate cells (X_c ∈ {0, N_c}); 2. **BCa** (Bias-Corrected accelerated; Efron, 1987) with jackknife acceleration parameter â (Methods Clarification m4) when |a| ≤ 10; 3. **BC** (bias-corrected only) when BCa fails or |a| &gt; 10; 4. **Percentile**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rejection triggers: (i) bootstrap-stabilized variance ratio σ̂² / [μ̂(1 − μ̂)] &lt; 0.05 (Methods Clarification m1); (ii) max(α̂, β̂) &gt; 100 (v2.0 master); (iii) (α̂ + β̂) / median(N_k) &gt; 5 (Methods Clarification m2). Per-iteration (α̂, β̂) re-estimation in bootstrap follows Carlin and Louis (2000; Methods Clarification M1).</w:t>
      </w:r>
    </w:p>
    <w:p>
      <w:pPr>
        <w:spacing w:line="480" w:lineRule="auto" w:before="0" w:after="0"/>
        <w:ind w:firstLine="720"/>
        <w:jc w:val="left"/>
      </w:pPr>
      <w:r>
        <w:rPr>
          <w:rFonts w:ascii="Times New Roman" w:hAnsi="Times New Roman" w:eastAsia="Times New Roman"/>
          <w:b/>
          <w:i/>
          <w:sz w:val="24"/>
        </w:rPr>
        <w:t>2.2.2 Stage 1: National prevalence aggregation.</w:t>
      </w:r>
    </w:p>
    <w:p>
      <w:pPr>
        <w:spacing w:line="480" w:lineRule="auto" w:before="0" w:after="0"/>
        <w:ind w:firstLine="720"/>
      </w:pPr>
      <w:r>
        <w:rPr>
          <w:rFonts w:ascii="Times New Roman" w:hAnsi="Times New Roman" w:eastAsia="Times New Roman"/>
          <w:sz w:val="24"/>
        </w:rPr>
        <w:t>The national prevalence is computed as the weighted sum P̂_t = Σ_c (p̂_c × W_c) / Σ_c W_c, where W_c is the cluster × gender population weight. Cluster proportions remain at the IEEE-published values (M3-fixed; m8 limitation: cluster membership is not in the MHLW data); only the gender marginal is updated to the 2022 working-population value.</w:t>
      </w:r>
    </w:p>
    <w:p>
      <w:pPr>
        <w:spacing w:line="480" w:lineRule="auto" w:before="0" w:after="0"/>
        <w:ind w:firstLine="720"/>
        <w:jc w:val="left"/>
      </w:pPr>
      <w:r>
        <w:rPr>
          <w:rFonts w:ascii="Times New Roman" w:hAnsi="Times New Roman" w:eastAsia="Times New Roman"/>
          <w:b/>
          <w:i/>
          <w:sz w:val="24"/>
        </w:rPr>
        <w:t>2.2.3 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Methods Clarification m3, the headline national MAPE bootstrap uses B = 10,000; per-cell bootstrap remains at B = 2,000.</w:t>
      </w:r>
    </w:p>
    <w:p>
      <w:pPr>
        <w:spacing w:line="480" w:lineRule="auto" w:before="0" w:after="0"/>
        <w:ind w:firstLine="720"/>
        <w:jc w:val="left"/>
      </w:pPr>
      <w:r>
        <w:rPr>
          <w:rFonts w:ascii="Times New Roman" w:hAnsi="Times New Roman" w:eastAsia="Times New Roman"/>
          <w:b/>
          <w:i/>
          <w:sz w:val="24"/>
        </w:rPr>
        <w:t>2.2.4 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(Methods Clarification M2); 3. Empirical Bayes shrinkage scale ∈ {0.5×, 1.0× (main), 2.0×} prior pseudocount; 4. Cluster-proportion mass shift ∈ {−0.10, 0.0 (main), +0.10} (proxy for V/f1/f2 uncertainty per v2.0 Section 6.4; full Cartesian sweep deferred to follow-up work due to combinatorial cost).</w:t>
      </w:r>
    </w:p>
    <w:p>
      <w:pPr>
        <w:spacing w:line="480" w:lineRule="auto" w:before="0" w:after="0"/>
        <w:ind w:firstLine="720"/>
        <w:jc w:val="left"/>
      </w:pPr>
      <w:r>
        <w:rPr>
          <w:rFonts w:ascii="Times New Roman" w:hAnsi="Times New Roman" w:eastAsia="Times New Roman"/>
          <w:b/>
          <w:i/>
          <w:sz w:val="24"/>
        </w:rPr>
        <w:t>2.2.5 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m8 limitation).</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auxiliary (Methods Clarification n4).</w:t>
      </w:r>
    </w:p>
    <w:p>
      <w:pPr>
        <w:spacing w:line="480" w:lineRule="auto" w:before="0" w:after="0"/>
        <w:ind w:firstLine="720"/>
        <w:jc w:val="left"/>
      </w:pPr>
      <w:r>
        <w:rPr>
          <w:rFonts w:ascii="Times New Roman" w:hAnsi="Times New Roman" w:eastAsia="Times New Roman"/>
          <w:b/>
          <w:i/>
          <w:sz w:val="24"/>
        </w:rPr>
        <w:t>2.2.6 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(Methods Clarifications m8)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ind w:firstLine="720"/>
        <w:jc w:val="left"/>
      </w:pPr>
      <w:r>
        <w:rPr>
          <w:rFonts w:ascii="Times New Roman" w:hAnsi="Times New Roman" w:eastAsia="Times New Roman"/>
          <w:b/>
          <w:i/>
          <w:sz w:val="24"/>
        </w:rPr>
        <w:t>2.2.7 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Hudgens &amp; Halloran, 2008 peer-effect framework per Methods Clarification m6).</w:t>
      </w:r>
    </w:p>
    <w:p>
      <w:pPr>
        <w:spacing w:line="480" w:lineRule="auto" w:before="0" w:after="0"/>
        <w:ind w:firstLine="720"/>
        <w:jc w:val="left"/>
      </w:pPr>
      <w:r>
        <w:rPr>
          <w:rFonts w:ascii="Times New Roman" w:hAnsi="Times New Roman" w:eastAsia="Times New Roman"/>
          <w:b/>
          <w:i/>
          <w:sz w:val="24"/>
        </w:rPr>
        <w:t>2.2.8 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Methods Clarification m5, positivity is quantitatively diagnosed via the cell-level ratio ρ_{c, x = A} = (counterfactual cell N) / (observed cell N); cells with ρ &lt; 0.10 are flagged, and intervention is downgraded from confirmatory to exploratory if flagged_weight ≥ 20%.</w:t>
      </w:r>
    </w:p>
    <w:p>
      <w:pPr>
        <w:spacing w:line="480" w:lineRule="auto" w:before="0" w:after="0"/>
        <w:ind w:firstLine="720"/>
      </w:pPr>
      <w:r>
        <w:rPr>
          <w:rFonts w:ascii="Times New Roman" w:hAnsi="Times New Roman" w:eastAsia="Times New Roman"/>
          <w:sz w:val="24"/>
        </w:rPr>
        <w:t>Counterfactual B reassigns each individual to one of the three pre-registered low-prevalence target clusters {0, 4, 6}, retaining their original HEXACO scores and re-computing positivity in the same fashion.</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(Hodgins, 2014; Salin, 2018; Saunders, 2007) and the MHLW 2020-2023 natural experiment (−12.1pp ≈ −37% relative). Positivity for C is trivially preserved (ρ ≡ 1) per pre-registration v2.0 Section 5.7.</w:t>
      </w:r>
    </w:p>
    <w:p>
      <w:pPr>
        <w:spacing w:line="480" w:lineRule="auto" w:before="0" w:after="0"/>
        <w:ind w:firstLine="720"/>
      </w:pPr>
      <w:r>
        <w:rPr>
          <w:rFonts w:ascii="Times New Roman" w:hAnsi="Times New Roman" w:eastAsia="Times New Roman"/>
          <w:sz w:val="24"/>
        </w:rPr>
        <w:t>The H7 intersection-union test (Berger &amp; Hsu, 1996; Methods Clarification m7) computes one-sided 95% lower bounds L_BA and L_BC for ΔP_B − ΔP_A and ΔP_B − ΔP_C, respectively, with bootstrap-resampled cell data (B = 2,000). The configuration is classified as:</w:t>
      </w:r>
    </w:p>
    <w:p>
      <w:pPr>
        <w:pStyle w:val="ListBullet"/>
        <w:spacing w:line="480" w:lineRule="auto" w:before="0" w:after="0"/>
      </w:pPr>
      <w:r>
        <w:rPr>
          <w:rFonts w:ascii="Times New Roman" w:hAnsi="Times New Roman" w:eastAsia="Times New Roman"/>
          <w:sz w:val="24"/>
        </w:rPr>
        <w:t>CONFIRMED: L_BA &gt; 0 AND L_BC &gt; 0 (B dominates both A and C);</w:t>
      </w:r>
    </w:p>
    <w:p>
      <w:pPr>
        <w:pStyle w:val="ListBullet"/>
        <w:spacing w:line="480" w:lineRule="auto" w:before="0" w:after="0"/>
      </w:pPr>
      <w:r>
        <w:rPr>
          <w:rFonts w:ascii="Times New Roman" w:hAnsi="Times New Roman" w:eastAsia="Times New Roman"/>
          <w:sz w:val="24"/>
        </w:rPr>
        <w:t>REVERSAL: L_BC &lt; 0 AND L_BA ≥ 0 (C dominates B);</w:t>
      </w:r>
    </w:p>
    <w:p>
      <w:pPr>
        <w:pStyle w:val="ListBullet"/>
        <w:spacing w:line="480" w:lineRule="auto" w:before="0" w:after="0"/>
      </w:pPr>
      <w:r>
        <w:rPr>
          <w:rFonts w:ascii="Times New Roman" w:hAnsi="Times New Roman" w:eastAsia="Times New Roman"/>
          <w:sz w:val="24"/>
        </w:rPr>
        <w:t>PARTIAL: one of L_BA, L_BC &gt; 0 but not both;</w:t>
      </w:r>
    </w:p>
    <w:p>
      <w:pPr>
        <w:pStyle w:val="ListBullet"/>
        <w:spacing w:line="480" w:lineRule="auto" w:before="0" w:after="0"/>
      </w:pPr>
      <w:r>
        <w:rPr>
          <w:rFonts w:ascii="Times New Roman" w:hAnsi="Times New Roman" w:eastAsia="Times New Roman"/>
          <w:sz w:val="24"/>
        </w:rPr>
        <w:t>AMBIGUOUS: neither condition met.</w:t>
      </w:r>
    </w:p>
    <w:p>
      <w:pPr>
        <w:spacing w:line="480" w:lineRule="auto" w:before="0" w:after="0"/>
        <w:ind w:firstLine="720"/>
        <w:jc w:val="left"/>
      </w:pPr>
      <w:r>
        <w:rPr>
          <w:rFonts w:ascii="Times New Roman" w:hAnsi="Times New Roman" w:eastAsia="Times New Roman"/>
          <w:b/>
          <w:i/>
          <w:sz w:val="24"/>
        </w:rPr>
        <w:t>2.2.9 Stage 8: Transportability factor sweep.</w:t>
      </w:r>
    </w:p>
    <w:p>
      <w:pPr>
        <w:spacing w:line="480" w:lineRule="auto" w:before="0" w:after="0"/>
        <w:ind w:firstLine="720"/>
      </w:pPr>
      <w:r>
        <w:rPr>
          <w:rFonts w:ascii="Times New Roman" w:hAnsi="Times New Roman" w:eastAsia="Times New Roman"/>
          <w:sz w:val="24"/>
        </w:rPr>
        <w:t>Per v2.0 Section 5.8 (cultural attenuation),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Sapouna (2010) UK→Germany null worst case;</w:t>
      </w:r>
    </w:p>
    <w:p>
      <w:pPr>
        <w:pStyle w:val="ListBullet"/>
        <w:spacing w:line="480" w:lineRule="auto" w:before="0" w:after="0"/>
      </w:pPr>
      <w:r>
        <w:rPr>
          <w:rFonts w:ascii="Times New Roman" w:hAnsi="Times New Roman" w:eastAsia="Times New Roman"/>
          <w:sz w:val="24"/>
        </w:rPr>
        <w:t>F = 0.5: Nielsen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left"/>
      </w:pPr>
      <w:r>
        <w:rPr>
          <w:rFonts w:ascii="Times New Roman" w:hAnsi="Times New Roman" w:eastAsia="Times New Roman"/>
          <w:b/>
          <w:sz w:val="24"/>
        </w:rPr>
        <w:t>2.3 Reproducibility</w:t>
      </w:r>
    </w:p>
    <w:p>
      <w:pPr>
        <w:spacing w:line="480" w:lineRule="auto" w:before="0" w:after="0"/>
        <w:ind w:firstLine="720"/>
      </w:pPr>
      <w:r>
        <w:rPr>
          <w:rFonts w:ascii="Times New Roman" w:hAnsi="Times New Roman" w:eastAsia="Times New Roman"/>
          <w:sz w:val="24"/>
        </w:rPr>
        <w:t>All stochastic operations use seed 20260429 (Methods Clarification M3). HDF5 artifacts at each stage include the seed, version, OSF DOI, and stage-specific provenance metadata as root-level attributes, enabling full audit-trail reconstruction. Verification hashes for all artifacts are computed via `simulation/code/verify_reproduction.py` and compared against `reference_hashes.json`. The Docker container `Dockerfile` and the `Makefile` `reproduce` target encapsulate the full pipeline. A 47-test pytest suite (extended to 56 with the MHLW loader tests upon Phase 1 activation) guards against regression in core utilities.</w:t>
      </w:r>
    </w:p>
    <w:p>
      <w:pPr>
        <w:spacing w:line="480" w:lineRule="auto" w:before="0" w:after="0"/>
        <w:jc w:val="left"/>
      </w:pPr>
      <w:r>
        <w:rPr>
          <w:rFonts w:ascii="Times New Roman" w:hAnsi="Times New Roman" w:eastAsia="Times New Roman"/>
          <w:b/>
          <w:sz w:val="24"/>
        </w:rPr>
        <w:t>2.4 Software and statistical environment</w:t>
      </w:r>
    </w:p>
    <w:p>
      <w:pPr>
        <w:spacing w:line="480" w:lineRule="auto" w:before="0" w:after="0"/>
        <w:ind w:firstLine="720"/>
      </w:pPr>
      <w:r>
        <w:rPr>
          <w:rFonts w:ascii="Times New Roman" w:hAnsi="Times New Roman" w:eastAsia="Times New Roman"/>
          <w:sz w:val="24"/>
        </w:rPr>
        <w:t>Analysis was conducted in Python 3.11.15 using NumPy 2.x, SciPy 1.x, pandas 2.x, scikit-learn 1.x, h5py 3.x, and statsmodels 0.14.x (full pinned versions in `pyproject.toml`). All code is publicly available under MIT license at &lt;https://github.com/etoki/paper/tree/main/simulation&gt; and archived at OSF (DOI 10.17605/OSF.IO/3Y54U). The pre-registration is locked at OSF (DOI 10.17605/OSF.IO/3Y54U) with the v1.1 → v2.0 public diff document and v2.0 Methods Clarifications Log (Section 6.5 Level 1 deviation; SHA-256 fcaaf0d...) hosted alongside the registration.</w:t>
      </w:r>
    </w:p>
    <w:p>
      <w:r>
        <w:br w:type="page"/>
      </w:r>
    </w:p>
    <w:p>
      <w:pPr>
        <w:spacing w:line="480" w:lineRule="auto" w:before="0" w:after="0"/>
        <w:jc w:val="left"/>
      </w:pPr>
      <w:r>
        <w:rPr>
          <w:rFonts w:ascii="Times New Roman" w:hAnsi="Times New Roman" w:eastAsia="Times New Roman"/>
          <w:b/>
          <w:sz w:val="24"/>
        </w:rPr>
        <w:t>3.1 Sample characteristics and 14-cell propensity (Stage 0)</w:t>
      </w:r>
    </w:p>
    <w:p>
      <w:pPr>
        <w:spacing w:line="480" w:lineRule="auto" w:before="0" w:after="0"/>
        <w:ind w:firstLine="720"/>
      </w:pPr>
      <w:r>
        <w:rPr>
          <w:rFonts w:ascii="Times New Roman" w:hAnsi="Times New Roman" w:eastAsia="Times New Roman"/>
          <w:sz w:val="24"/>
        </w:rPr>
        <w:t>The N = 354 sample was assigned to 14 cells (7 HEXACO clusters × 2 genders) via Euclidean nearest-centroid hard-assignment, using the IEEE-published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Per-cell 95% confidence intervals followed the four-step priority cascade (Methods §2.2.1). Of the 14 cells, all were resolved at the BCa stage (no cells required the BC, percentile, or Clopper-Pearson fallbacks), confirming that the v2.0 master Section 5.1 primary BCa procedure operates as designed for the realized data structure.</w:t>
      </w:r>
    </w:p>
    <w:p>
      <w:pPr>
        <w:spacing w:line="480" w:lineRule="auto" w:before="0" w:after="0"/>
        <w:jc w:val="left"/>
      </w:pPr>
      <w:r>
        <w:rPr>
          <w:rFonts w:ascii="Times New Roman" w:hAnsi="Times New Roman" w:eastAsia="Times New Roman"/>
          <w:b/>
          <w:sz w:val="24"/>
        </w:rPr>
        <w:t>3.2 National prevalence and H1 four-tier classification (Stages 1–2)</w:t>
      </w:r>
    </w:p>
    <w:p>
      <w:pPr>
        <w:spacing w:line="480" w:lineRule="auto" w:before="0" w:after="0"/>
        <w:ind w:firstLine="720"/>
      </w:pPr>
      <w:r>
        <w:rPr>
          <w:rFonts w:ascii="Times New Roman" w:hAnsi="Times New Roman" w:eastAsia="Times New Roman"/>
          <w:sz w:val="24"/>
        </w:rPr>
        <w:t>After re-weighting with MHLW Labor Force Survey 2022 marginals (F = 0.4498, M = 0.5502; total 6,723 万人 employed),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v2.0 master Section 5.4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sz w:val="24"/>
        </w:rPr>
        <w:t>**Table 1.**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Strict SUCCESS</w:t>
            </w:r>
          </w:p>
        </w:tc>
      </w:tr>
    </w:tbl>
    <w:p>
      <w:pPr>
        <w:spacing w:line="480" w:lineRule="auto" w:before="0" w:after="0"/>
      </w:pPr>
    </w:p>
    <w:p>
      <w:pPr>
        <w:spacing w:line="480" w:lineRule="auto" w:before="0" w:after="0"/>
        <w:ind w:firstLine="720"/>
      </w:pPr>
      <w:r>
        <w:rPr>
          <w:rFonts w:ascii="Times New Roman" w:hAnsi="Times New Roman" w:eastAsia="Times New Roman"/>
          <w:sz w:val="24"/>
        </w:rPr>
        <w:t>The FY2016 primary classification is **PARTIAL SUCCESS** (point MAPE &gt; 30%, ≤ 60%). However, the post-Power-Harassment-Prevention-Law FY2023 result attains **Strict SUCCESS** with a point MAPE of 9.65% and a 95% CI upper bound of 31.52%. Interpretation of this temporal heterogeneity is deferred to the Discussion (Section 4.1).</w:t>
      </w:r>
    </w:p>
    <w:p>
      <w:pPr>
        <w:spacing w:line="480" w:lineRule="auto" w:before="0" w:after="0"/>
        <w:jc w:val="left"/>
      </w:pPr>
      <w:r>
        <w:rPr>
          <w:rFonts w:ascii="Times New Roman" w:hAnsi="Times New Roman" w:eastAsia="Times New Roman"/>
          <w:b/>
          <w:sz w:val="24"/>
        </w:rPr>
        <w:t>3.3 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sz w:val="24"/>
        </w:rPr>
        <w:t>**Table 2.**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IEEE-published cluster proportions to the conclusion (m8 limitation per pre-registration v2.0).</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left"/>
      </w:pPr>
      <w:r>
        <w:rPr>
          <w:rFonts w:ascii="Times New Roman" w:hAnsi="Times New Roman" w:eastAsia="Times New Roman"/>
          <w:b/>
          <w:sz w:val="24"/>
        </w:rPr>
        <w:t>3.4 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sz w:val="24"/>
        </w:rPr>
        <w:t>**Table 3.** Baseline comparison for H2. B = 2,000 cell-stratified bootstrap. Note that B0 (uniform-MHLW-grand-mean prediction) trivially attains MAPE = 0 by construction and is included only as the lower-bound reference.</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 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45.35%</w:t>
            </w:r>
          </w:p>
        </w:tc>
        <w:tc>
          <w:tcPr>
            <w:tcW w:type="dxa" w:w="2340"/>
          </w:tcPr>
          <w:p>
            <w:r>
              <w:rPr>
                <w:rFonts w:ascii="Times New Roman" w:hAnsi="Times New Roman" w:eastAsia="Times New Roman"/>
                <w:b w:val="0"/>
                <w:sz w:val="22"/>
              </w:rPr>
              <w:t>[45.4, 45.4]</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44.24%</w:t>
            </w:r>
          </w:p>
        </w:tc>
        <w:tc>
          <w:tcPr>
            <w:tcW w:type="dxa" w:w="2340"/>
          </w:tcPr>
          <w:p>
            <w:r>
              <w:rPr>
                <w:rFonts w:ascii="Times New Roman" w:hAnsi="Times New Roman" w:eastAsia="Times New Roman"/>
                <w:b w:val="0"/>
                <w:sz w:val="22"/>
              </w:rPr>
              <w:t>[40.6, 47.7]</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45.51%</w:t>
            </w:r>
          </w:p>
        </w:tc>
        <w:tc>
          <w:tcPr>
            <w:tcW w:type="dxa" w:w="2340"/>
          </w:tcPr>
          <w:p>
            <w:r>
              <w:rPr>
                <w:rFonts w:ascii="Times New Roman" w:hAnsi="Times New Roman" w:eastAsia="Times New Roman"/>
                <w:b w:val="0"/>
                <w:sz w:val="22"/>
              </w:rPr>
              <w:t>[45.5, 45.5]</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46.30%</w:t>
            </w:r>
          </w:p>
        </w:tc>
        <w:tc>
          <w:tcPr>
            <w:tcW w:type="dxa" w:w="2340"/>
          </w:tcPr>
          <w:p>
            <w:r>
              <w:rPr>
                <w:rFonts w:ascii="Times New Roman" w:hAnsi="Times New Roman" w:eastAsia="Times New Roman"/>
                <w:b w:val="0"/>
                <w:sz w:val="22"/>
              </w:rPr>
              <w:t>[44.2, 48.5]</w:t>
            </w:r>
          </w:p>
        </w:tc>
      </w:tr>
    </w:tbl>
    <w:p>
      <w:pPr>
        <w:spacing w:line="480" w:lineRule="auto" w:before="0" w:after="0"/>
      </w:pPr>
    </w:p>
    <w:p>
      <w:pPr>
        <w:spacing w:line="480" w:lineRule="auto" w:before="0" w:after="0"/>
        <w:ind w:firstLine="720"/>
      </w:pPr>
      <w:r>
        <w:rPr>
          <w:rFonts w:ascii="Times New Roman" w:hAnsi="Times New Roman" w:eastAsia="Times New Roman"/>
          <w:sz w:val="24"/>
        </w:rPr>
        <w:t>The H2 hypothesis (B0 &gt; B1 &gt; B2 &gt; B3 &gt; B4 in MAPE, monotonic improvement) was tested via Bonferroni-Holm-corrected pairwise inequalities; **0 of 4 pairs were confirmed**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The H2 decision is therefore **ambiguous_or_reversed**: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*not over-fit* to the training subsample (a moderately favorable finding), but the benefit of the additional cluster × gender stratification is not detectable at this sample size with the present binarization.</w:t>
      </w:r>
    </w:p>
    <w:p>
      <w:pPr>
        <w:spacing w:line="480" w:lineRule="auto" w:before="0" w:after="0"/>
        <w:jc w:val="left"/>
      </w:pPr>
      <w:r>
        <w:rPr>
          <w:rFonts w:ascii="Times New Roman" w:hAnsi="Times New Roman" w:eastAsia="Times New Roman"/>
          <w:b/>
          <w:sz w:val="24"/>
        </w:rPr>
        <w:t>3.5 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left"/>
      </w:pPr>
      <w:r>
        <w:rPr>
          <w:rFonts w:ascii="Times New Roman" w:hAnsi="Times New Roman" w:eastAsia="Times New Roman"/>
          <w:b/>
          <w:sz w:val="24"/>
        </w:rPr>
        <w:t>3.6 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sz w:val="24"/>
        </w:rPr>
        <w:t>**Table 4.** Counterfactual ΔP_x = (P̂_counterfactual − P̂_baseline) at the national level. B = 2,000 cell-stratified bootstrap. Positive ΔP indicates *reduction*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[−0.0199, +0.0054]</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do(cluster ∈ {0, 4, 6})</w:t>
            </w:r>
          </w:p>
        </w:tc>
        <w:tc>
          <w:tcPr>
            <w:tcW w:type="dxa" w:w="1872"/>
          </w:tcPr>
          <w:p>
            <w:r>
              <w:rPr>
                <w:rFonts w:ascii="Times New Roman" w:hAnsi="Times New Roman" w:eastAsia="Times New Roman"/>
                <w:b w:val="0"/>
                <w:sz w:val="22"/>
              </w:rPr>
              <w:t>−0.0058</w:t>
            </w:r>
          </w:p>
        </w:tc>
        <w:tc>
          <w:tcPr>
            <w:tcW w:type="dxa" w:w="1872"/>
          </w:tcPr>
          <w:p>
            <w:r>
              <w:rPr>
                <w:rFonts w:ascii="Times New Roman" w:hAnsi="Times New Roman" w:eastAsia="Times New Roman"/>
                <w:b w:val="0"/>
                <w:sz w:val="22"/>
              </w:rPr>
              <w:t>[−0.0199, +0.0056]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+0.0354</w:t>
            </w:r>
          </w:p>
        </w:tc>
        <w:tc>
          <w:tcPr>
            <w:tcW w:type="dxa" w:w="1872"/>
          </w:tcPr>
          <w:p>
            <w:r>
              <w:rPr>
                <w:rFonts w:ascii="Times New Roman" w:hAnsi="Times New Roman" w:eastAsia="Times New Roman"/>
                <w:b w:val="0"/>
                <w:sz w:val="22"/>
              </w:rPr>
              <w:t>[+0.0266, +0.0445]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The intersection-union test (Berger &amp; Hsu, 1996) produced one-sided 95% lower bounds L_BA = 0.0003 and L_BC = −0.0413 with the configuration L_BA ≥ 0 AND L_BC &lt; 0, classifying H7 as **REVERSAL**.</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personality intervention (Counterfactual A) and the cluster reassignment intervention (Counterfactual B) by a large margin. Numerically, |ΔP_C| / |ΔP_A| ≈ 5.8.</w:t>
      </w:r>
    </w:p>
    <w:p>
      <w:pPr>
        <w:spacing w:line="480" w:lineRule="auto" w:before="0" w:after="0"/>
        <w:ind w:firstLine="720"/>
      </w:pPr>
      <w:r>
        <w:rPr>
          <w:rFonts w:ascii="Times New Roman" w:hAnsi="Times New Roman" w:eastAsia="Times New Roman"/>
          <w:sz w:val="24"/>
        </w:rPr>
        <w:t>**Positivity diagnostic.** Counterfactual A and Counterfactual B trivially preserve positivity (ρ ≡ 1 by construction; per Methods Clarification m5). Counterfactual B's cell positivity ratio ρ_{c, B} was 45.8% flagged (i.e., 45.8% of population weight in cells where the post-intervention expected count is &lt; 10% of observed), triggering the m5 downgrade rule (flagged_weight ≥ 20%). We therefore interpret Counterfactual B as **exploratory** rather than confirmatory; the IUT reading is unaffected (ΔP_B remains null), but conclusions about B's null finding cannot be made with the same confidence as A.</w:t>
      </w:r>
    </w:p>
    <w:p>
      <w:pPr>
        <w:spacing w:line="480" w:lineRule="auto" w:before="0" w:after="0"/>
        <w:jc w:val="left"/>
      </w:pPr>
      <w:r>
        <w:rPr>
          <w:rFonts w:ascii="Times New Roman" w:hAnsi="Times New Roman" w:eastAsia="Times New Roman"/>
          <w:b/>
          <w:sz w:val="24"/>
        </w:rPr>
        <w:t>3.7 Transportability sensitivity (Stage 8)</w:t>
      </w:r>
    </w:p>
    <w:p>
      <w:pPr>
        <w:spacing w:line="480" w:lineRule="auto" w:before="0" w:after="0"/>
        <w:ind w:firstLine="720"/>
      </w:pPr>
      <w:r>
        <w:rPr>
          <w:rFonts w:ascii="Times New Roman" w:hAnsi="Times New Roman" w:eastAsia="Times New Roman"/>
          <w:sz w:val="24"/>
        </w:rPr>
        <w:t>Per the v2.0 master Section 5.8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sz w:val="24"/>
        </w:rPr>
        <w:t>**Table 5.**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Sapouna 2010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+0.0106</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2017 expected</w:t>
            </w:r>
          </w:p>
        </w:tc>
        <w:tc>
          <w:tcPr>
            <w:tcW w:type="dxa" w:w="1872"/>
          </w:tcPr>
          <w:p>
            <w:r>
              <w:rPr>
                <w:rFonts w:ascii="Times New Roman" w:hAnsi="Times New Roman" w:eastAsia="Times New Roman"/>
                <w:b w:val="0"/>
                <w:sz w:val="22"/>
              </w:rPr>
              <w:t>−0.0030</w:t>
            </w:r>
          </w:p>
        </w:tc>
        <w:tc>
          <w:tcPr>
            <w:tcW w:type="dxa" w:w="1872"/>
          </w:tcPr>
          <w:p>
            <w:r>
              <w:rPr>
                <w:rFonts w:ascii="Times New Roman" w:hAnsi="Times New Roman" w:eastAsia="Times New Roman"/>
                <w:b w:val="0"/>
                <w:sz w:val="22"/>
              </w:rPr>
              <w:t>+0.0177</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−0.0042</w:t>
            </w:r>
          </w:p>
        </w:tc>
        <w:tc>
          <w:tcPr>
            <w:tcW w:type="dxa" w:w="1872"/>
          </w:tcPr>
          <w:p>
            <w:r>
              <w:rPr>
                <w:rFonts w:ascii="Times New Roman" w:hAnsi="Times New Roman" w:eastAsia="Times New Roman"/>
                <w:b w:val="0"/>
                <w:sz w:val="22"/>
              </w:rPr>
              <w:t>+0.0248</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+0.0354</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worst-case Sapouna (2010) UK→Germany null scenario (F = 0.3), the structural intervention's effect remains substantially larger than the personality intervention's, preserving the qualitative ordering.</w:t>
      </w:r>
    </w:p>
    <w:p>
      <w:pPr>
        <w:spacing w:line="480" w:lineRule="auto" w:before="0" w:after="0"/>
        <w:jc w:val="left"/>
      </w:pPr>
      <w:r>
        <w:rPr>
          <w:rFonts w:ascii="Times New Roman" w:hAnsi="Times New Roman" w:eastAsia="Times New Roman"/>
          <w:b/>
          <w:sz w:val="24"/>
        </w:rPr>
        <w:t>3.8 Summary of pre-registered hypothesis outcomes</w:t>
      </w:r>
    </w:p>
    <w:p>
      <w:pPr>
        <w:spacing w:line="480" w:lineRule="auto" w:before="0" w:after="0"/>
        <w:ind w:firstLine="720"/>
      </w:pPr>
      <w:r>
        <w:rPr>
          <w:rFonts w:ascii="Times New Roman" w:hAnsi="Times New Roman" w:eastAsia="Times New Roman"/>
          <w:sz w:val="24"/>
        </w:rPr>
        <w:t>**Table 6.**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(Reported in Tokiwa, 2024 IEEE)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All 14 cells resolved at BCa stage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14-cell vs 28-cell sensitivity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High concordance (Spearman ρ &gt; 0.80; computed in supplementary)</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left"/>
      </w:pPr>
      <w:r>
        <w:rPr>
          <w:rFonts w:ascii="Times New Roman" w:hAnsi="Times New Roman" w:eastAsia="Times New Roman"/>
          <w:b/>
          <w:sz w:val="24"/>
        </w:rPr>
        <w:t>4.1 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sz w:val="24"/>
        </w:rPr>
        <w:t>**Finding 1: Post-Power-Harassment-Prevention-Law prevalence is well predicted; pre-law is not.** The model-based national prevalence (P̂ = 17.44%, after MHLW 2022 working-population reweighting) attains MAPE = 9.65% against the FY2023 (post-law) target — a Strict SUCCESS classification — but only PARTIAL SUCCESS against the FY2016 (pre-law) target (MAPE = 46.34%). A literal reading is that our HEXACO 7-typology × MHLW-reweighted model captures the *post-law equilibrium*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sz w:val="24"/>
        </w:rPr>
        <w:t>**Finding 2: H7 = REVERSAL — structural intervention dominates personality intervention.** The pre-registered intersection-union test produced REVERSAL (L_BA ≥ 0, L_BC &lt; 0), indicating that the cell-level structural intervention (Counterfactual C; −20% propensity, calibrated against three meta-analyses and one natural experiment) outperforms both personality intervention (Counterfactual A; +0.3 SD on H/A/E) and cluster reassignment (Counterfactual B; do(cluster ∈ {0, 4, 6})) by a substantial margin. The numerical ratio |ΔP_C| / |ΔP_A| ≈ 5.8 is robust across all four pre-registered cultural-attenuation factors (F = 0.3, 0.5, 0.7, 1.0), including the Sapouna (2010) UK→Germany worst-case anchor. We interpret this as evidence that, given prior meta-analytic effect sizes for each intervention type, organizational and structural interventions translate to approximately 5.8× larger population-level harassment-prevalence reductions than realistic personality-training interventions.</w:t>
      </w:r>
    </w:p>
    <w:p>
      <w:pPr>
        <w:spacing w:line="480" w:lineRule="auto" w:before="0" w:after="0"/>
        <w:ind w:firstLine="720"/>
      </w:pPr>
      <w:r>
        <w:rPr>
          <w:rFonts w:ascii="Times New Roman" w:hAnsi="Times New Roman" w:eastAsia="Times New Roman"/>
          <w:sz w:val="24"/>
        </w:rPr>
        <w:t>**Finding 3: HEXACO 7-typology is a stratification variable, not an intervention target.** The Counterfactual A null result (ΔP_A = −0.0061, 95% CI crosses zero) implies that shifting individual HEXACO scores by realistic training-effect magnitudes does not measurably reduce population-level harassment prevalence. This finding has substantive consequences for how the HEXACO 7-typology should be interpreted in workplace contexts: the typology *identifies which subgroups are differentially exposed* to harassment, but does *not* identify a personality-based target for individual modification. Consequently, the conventional HR practice of allocating prevention budget toward personality-screening hires or self-improvement training programs rests on a weak empirical foundation; allocation toward structural reforms, with effect sizes documented in Salin (2018), Saunders (2007), and Hodgins (2014), is supported by both prior literature and the present counterfactual analysis.</w:t>
      </w:r>
    </w:p>
    <w:p>
      <w:pPr>
        <w:spacing w:line="480" w:lineRule="auto" w:before="0" w:after="0"/>
        <w:jc w:val="left"/>
      </w:pPr>
      <w:r>
        <w:rPr>
          <w:rFonts w:ascii="Times New Roman" w:hAnsi="Times New Roman" w:eastAsia="Times New Roman"/>
          <w:b/>
          <w:sz w:val="24"/>
        </w:rPr>
        <w:t>4.2 The 2020 Power Harassment Prevention Law as natural experiment</w:t>
      </w:r>
    </w:p>
    <w:p>
      <w:pPr>
        <w:spacing w:line="480" w:lineRule="auto" w:before="0" w:after="0"/>
        <w:ind w:firstLine="720"/>
      </w:pPr>
      <w:r>
        <w:rPr>
          <w:rFonts w:ascii="Times New Roman" w:hAnsi="Times New Roman" w:eastAsia="Times New Roman"/>
          <w:sz w:val="24"/>
        </w:rPr>
        <w:t>The MHLW survey series provides a rare natural-experiment quasi-validation of our central counterfactual claim. The FY2016 → FY2023 decline in past-three-year power-harassment victimization (32.5% → 19.3%; −13.2 percentage points) coincides with the staged enforcement of the 2020 Power Harassment Prevention Law (large enterprises, June 2020; SMEs, April 2022). Two competing explanations for this decline are: (a) the law functioned as a structural intervention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The latter explanation is implausible on demographic grounds: cohort-level changes in HEXACO traits over six years are unlikely to exceed 0.05 SD. Our Counterfactual A simulation, which models a *six times larger* personality shift (+0.3 SD on H/A/E), produced a null effect at the population level. Hence, the 13.2 pp natural-experiment decline cannot be attributed to personality drift. By exclusion, it is attributable primarily to structural change. This convergence between the natural-experiment evidence and our pre-registered counterfactual is, in our view, the strongest case the present study can make for its policy implication.</w:t>
      </w:r>
    </w:p>
    <w:p>
      <w:pPr>
        <w:spacing w:line="480" w:lineRule="auto" w:before="0" w:after="0"/>
        <w:jc w:val="left"/>
      </w:pPr>
      <w:r>
        <w:rPr>
          <w:rFonts w:ascii="Times New Roman" w:hAnsi="Times New Roman" w:eastAsia="Times New Roman"/>
          <w:b/>
          <w:sz w:val="24"/>
        </w:rPr>
        <w:t>4.3 Reframing HEXACO: stratification, not modification</w:t>
      </w:r>
    </w:p>
    <w:p>
      <w:pPr>
        <w:spacing w:line="480" w:lineRule="auto" w:before="0" w:after="0"/>
        <w:ind w:firstLine="720"/>
      </w:pPr>
      <w:r>
        <w:rPr>
          <w:rFonts w:ascii="Times New Roman" w:hAnsi="Times New Roman" w:eastAsia="Times New Roman"/>
          <w:sz w:val="24"/>
        </w:rPr>
        <w:t>A central reframing emerges from the integrated reading of Counterfactual A's null and Counterfactual C's positive effect. The conventional reading of "low Honesty-Humility correlates with workplace harassment exposure" tempts an intervention prescription: train individuals to elevate their Honesty-Humility (or, less charitably, screen them out of hiring pools). Our results contraindicate this prescription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rejects M1 (direct causation) but cannot adjudicate among M2–M4. Under any of the latter three, modifying individuals' HEXACO scores does not modify the underlying mechanism (industry sorting, shared SES correlates, or cynicism induced by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Sleep &amp; Watts, 2024). Our simulation demonstrates that this upper-bound shift translates to a population-level prevalence change of −0.6 percentage points — far smaller than the ±2 pp variation already present in MHLW year-on-year sampling noise, and ~6× smaller than the structural intervention.</w:t>
      </w:r>
    </w:p>
    <w:p>
      <w:pPr>
        <w:spacing w:line="480" w:lineRule="auto" w:before="0" w:after="0"/>
        <w:ind w:firstLine="720"/>
      </w:pPr>
      <w:r>
        <w:rPr>
          <w:rFonts w:ascii="Times New Roman" w:hAnsi="Times New Roman" w:eastAsia="Times New Roman"/>
          <w:sz w:val="24"/>
        </w:rPr>
        <w:t>The repositioning is therefore: **HEXACO 7-typology serves as a stratification lens that identifies differentially exposed populations and verifies that structural interventions do not differentially fail any subgroup, but is not itself a target of intervention.** This framing has the additional ethical virtue of rejecting victim-blaming readings: low-HH individuals are not "flawed" or "in need of improvement"; they are differentially situated in environments where harassment is more prevalent, and the appropriate response is to modify those environments rather than the individuals.</w:t>
      </w:r>
    </w:p>
    <w:p>
      <w:pPr>
        <w:spacing w:line="480" w:lineRule="auto" w:before="0" w:after="0"/>
        <w:jc w:val="left"/>
      </w:pPr>
      <w:r>
        <w:rPr>
          <w:rFonts w:ascii="Times New Roman" w:hAnsi="Times New Roman" w:eastAsia="Times New Roman"/>
          <w:b/>
          <w:sz w:val="24"/>
        </w:rPr>
        <w:t>4.4 Limitations</w:t>
      </w:r>
    </w:p>
    <w:p>
      <w:pPr>
        <w:spacing w:line="480" w:lineRule="auto" w:before="0" w:after="0"/>
        <w:ind w:firstLine="720"/>
        <w:jc w:val="left"/>
      </w:pPr>
      <w:r>
        <w:rPr>
          <w:rFonts w:ascii="Times New Roman" w:hAnsi="Times New Roman" w:eastAsia="Times New Roman"/>
          <w:b/>
          <w:i/>
          <w:sz w:val="24"/>
        </w:rPr>
        <w:t>4.4.1 Reduced-form framing of Counterfactual C.</w:t>
      </w:r>
    </w:p>
    <w:p>
      <w:pPr>
        <w:spacing w:line="480" w:lineRule="auto" w:before="0" w:after="0"/>
        <w:ind w:firstLine="720"/>
      </w:pPr>
      <w:r>
        <w:rPr>
          <w:rFonts w:ascii="Times New Roman" w:hAnsi="Times New Roman" w:eastAsia="Times New Roman"/>
          <w:sz w:val="24"/>
        </w:rPr>
        <w:t>The most important limitation, identified through dialogue with an external methodologist, concerns the *reduced-form*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2018; Saunders, 2007; Hodgins, 2014; calibrated against MHLW 2020 Law natural experiment) into the same population-level prevalence metric used for the personality intervention (calibrated against Hudson &amp; Fraley, 2015; Sleep &amp; Watts, 2024).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ind w:firstLine="720"/>
        <w:jc w:val="left"/>
      </w:pPr>
      <w:r>
        <w:rPr>
          <w:rFonts w:ascii="Times New Roman" w:hAnsi="Times New Roman" w:eastAsia="Times New Roman"/>
          <w:b/>
          <w:i/>
          <w:sz w:val="24"/>
        </w:rPr>
        <w:t>4.4.2 Causal under-identification among M2/M3/M4.</w:t>
      </w:r>
    </w:p>
    <w:p>
      <w:pPr>
        <w:spacing w:line="480" w:lineRule="auto" w:before="0" w:after="0"/>
        <w:ind w:firstLine="720"/>
      </w:pPr>
      <w:r>
        <w:rPr>
          <w:rFonts w:ascii="Times New Roman" w:hAnsi="Times New Roman" w:eastAsia="Times New Roman"/>
          <w:sz w:val="24"/>
        </w:rPr>
        <w:t>Our analysis can reject M1 (direct personality-causation of harassment) but cannot distinguish among M2 (selection into harassment-prone environments), M3 (confounding via SES/educational/economic factors), or M4 (reverse causation: harassment depresses HEXACO-H scores via cynicism). Each of these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policy implication (structural intervention dominance) is unaffected.</w:t>
      </w:r>
    </w:p>
    <w:p>
      <w:pPr>
        <w:spacing w:line="480" w:lineRule="auto" w:before="0" w:after="0"/>
        <w:ind w:firstLine="720"/>
        <w:jc w:val="left"/>
      </w:pPr>
      <w:r>
        <w:rPr>
          <w:rFonts w:ascii="Times New Roman" w:hAnsi="Times New Roman" w:eastAsia="Times New Roman"/>
          <w:b/>
          <w:i/>
          <w:sz w:val="24"/>
        </w:rPr>
        <w:t>4.4.3 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ind w:firstLine="720"/>
        <w:jc w:val="left"/>
      </w:pPr>
      <w:r>
        <w:rPr>
          <w:rFonts w:ascii="Times New Roman" w:hAnsi="Times New Roman" w:eastAsia="Times New Roman"/>
          <w:b/>
          <w:i/>
          <w:sz w:val="24"/>
        </w:rPr>
        <w:t>4.4.4 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ind w:firstLine="720"/>
        <w:jc w:val="left"/>
      </w:pPr>
      <w:r>
        <w:rPr>
          <w:rFonts w:ascii="Times New Roman" w:hAnsi="Times New Roman" w:eastAsia="Times New Roman"/>
          <w:b/>
          <w:i/>
          <w:sz w:val="24"/>
        </w:rPr>
        <w:t>4.4.5 m8 limitation: cluster proportions M3-fixed.</w:t>
      </w:r>
    </w:p>
    <w:p>
      <w:pPr>
        <w:spacing w:line="480" w:lineRule="auto" w:before="0" w:after="0"/>
        <w:ind w:firstLine="720"/>
      </w:pPr>
      <w:r>
        <w:rPr>
          <w:rFonts w:ascii="Times New Roman" w:hAnsi="Times New Roman" w:eastAsia="Times New Roman"/>
          <w:sz w:val="24"/>
        </w:rPr>
        <w:t>Per Methods Clarification m8, the 7-cluster proportions used in Stage 1 reweighting remain fixed at the IEEE-published values for N = 13,668; only the gender marginal is updated to the MHLW 2022 working-population value. This is a conscious limitation: the MHLW Labor Force Survey does not capture HEXACO cluster membership, so the cluster proportions cannot be updated. The OAT sensitivity sweep over cluster mass shifts (Section 3.3)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ind w:firstLine="720"/>
        <w:jc w:val="left"/>
      </w:pPr>
      <w:r>
        <w:rPr>
          <w:rFonts w:ascii="Times New Roman" w:hAnsi="Times New Roman" w:eastAsia="Times New Roman"/>
          <w:b/>
          <w:i/>
          <w:sz w:val="24"/>
        </w:rPr>
        <w:t>4.4.6 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(Section 3.3)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left"/>
      </w:pPr>
      <w:r>
        <w:rPr>
          <w:rFonts w:ascii="Times New Roman" w:hAnsi="Times New Roman" w:eastAsia="Times New Roman"/>
          <w:b/>
          <w:sz w:val="24"/>
        </w:rPr>
        <w:t>4.5 Implications for workplace harassment policy</w:t>
      </w:r>
    </w:p>
    <w:p>
      <w:pPr>
        <w:spacing w:line="480" w:lineRule="auto" w:before="0" w:after="0"/>
        <w:ind w:firstLine="720"/>
      </w:pPr>
      <w:r>
        <w:rPr>
          <w:rFonts w:ascii="Times New Roman" w:hAnsi="Times New Roman" w:eastAsia="Times New Roman"/>
          <w:sz w:val="24"/>
        </w:rPr>
        <w:t>The integrated findings carry three policy implications:</w:t>
      </w:r>
    </w:p>
    <w:p>
      <w:pPr>
        <w:spacing w:line="480" w:lineRule="auto" w:before="0" w:after="0"/>
        <w:ind w:firstLine="720"/>
      </w:pPr>
      <w:r>
        <w:rPr>
          <w:rFonts w:ascii="Times New Roman" w:hAnsi="Times New Roman" w:eastAsia="Times New Roman"/>
          <w:sz w:val="24"/>
        </w:rPr>
        <w:t>1. **Resource reallocation.** Japanese corporate HR programs typically allocate the majority of harassment-prevention budget to person-level interventions: anti-harassment training modules, sensitivity workshops, and screening protocols. Our results suggest that a meaningful reallocation toward structural interventions — anonymous reporting channels, independent investigation units, 360-degree evaluation, mid-management training in coaching skills — would yield approximately 6× larger population-level reductions in harassment prevalence per unit of intervention. 2. **Causal humility about HEXACO-based screening.** The use of HEXACO scores (or related personality assessments) in pre-employment screening to filter out "harassment-prone" candidates is not supported by our analysis. The HEXACO–harassment association is consistent with selection into harassment-prone environments rather than direct causation; screening on HEXACO would simply re-route low-HH applicants to less protective workplaces, without reducing aggregate harassment. 3. **Continued evaluation of the 2020 Power Harassment Prevention Law.** Our analysis converges with the MHLW natural experiment in attributing the FY2016–FY2023 decline to structural mechanisms. We recommend that the law's enforcement be strengthened in the SME sector (where compliance has been documented as weaker) and that auxiliary mechanisms — anonymous reporting, independent investigation, retaliation prohibition — be empirically evaluated for differential efficacy.</w:t>
      </w:r>
    </w:p>
    <w:p>
      <w:pPr>
        <w:spacing w:line="480" w:lineRule="auto" w:before="0" w:after="0"/>
        <w:jc w:val="left"/>
      </w:pPr>
      <w:r>
        <w:rPr>
          <w:rFonts w:ascii="Times New Roman" w:hAnsi="Times New Roman" w:eastAsia="Times New Roman"/>
          <w:b/>
          <w:sz w:val="24"/>
        </w:rPr>
        <w:t>4.6 Conclusion</w:t>
      </w:r>
    </w:p>
    <w:p>
      <w:pPr>
        <w:spacing w:line="480" w:lineRule="auto" w:before="0" w:after="0"/>
        <w:ind w:firstLine="720"/>
      </w:pPr>
      <w:r>
        <w:rPr>
          <w:rFonts w:ascii="Times New Roman" w:hAnsi="Times New Roman" w:eastAsia="Times New Roman"/>
          <w:sz w:val="24"/>
        </w:rPr>
        <w:t>We pre-registered and executed a HEXACO 7-typology workplace harassment microsimulation that emulates a target trial of three counterfactual interventions in Japan. The null result for personality intervention (Counterfactual A; ΔP_A = −0.0061, CI crosses zero) and the strongly positive result for structural intervention (Counterfactual C; ΔP_C = +0.0354, CI excludes zero), corroborated by the H7 IUT classification of REVERSAL across all four pre-registered cultural attenuation factors, support the conclusion that *structural interventions translate to approximately 5.8× larger population-level harassment-prevalence reductions than realistic personality-training interventions*, given prior meta-analytic effect-size literature. The 2020 Power Harassment Prevention Law's natural-experiment 13.2 pp decline corroborates the policy mechanism. We reposition HEXACO 7-typology as a stratification lens that identifies differentially exposed populations rather than as a target of intervention, and reject victim-blaming framings of harassment exposure.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F., &amp; Tanaka, K. (2010). Development of a Gender Harassment Scale for Japanese workers. Industrial Health, 48(2), 183–192. [Equivalent / placeholder citation; final version to verify against original Japanese-language publication.]</w:t>
      </w:r>
    </w:p>
    <w:p>
      <w:pPr>
        <w:spacing w:line="480" w:lineRule="auto" w:before="0" w:after="0"/>
        <w:ind w:left="720" w:hanging="720"/>
      </w:pPr>
      <w:r>
        <w:rPr>
          <w:rFonts w:ascii="Times New Roman" w:hAnsi="Times New Roman" w:eastAsia="Times New Roman"/>
          <w:sz w:val="24"/>
        </w:rPr>
        <w:t>Lee, K., Ashton, M. C., Wiltshire, J., Bourdage, J. S., Visser, B. A., &amp; Gallucci, A. (2014).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[in Japanese: 平成28年度 職場のハラスメントに関する実態調査].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[in Japanese: 令和2年度 職場のハラスメントに関する実態調査].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[in Japanese: 令和5年度 職場のハラスメントに関する実態調査]. https://www.mhlw.go.jp/</w:t>
      </w:r>
    </w:p>
    <w:p>
      <w:pPr>
        <w:spacing w:line="480" w:lineRule="auto" w:before="0" w:after="0"/>
        <w:ind w:left="720" w:hanging="720"/>
      </w:pPr>
      <w:r>
        <w:rPr>
          <w:rFonts w:ascii="Times New Roman" w:hAnsi="Times New Roman" w:eastAsia="Times New Roman"/>
          <w:sz w:val="24"/>
        </w:rPr>
        <w:t>Nielsen, M. B. (2017). The HEXACO model and workplace bullying: Personality and victim characteristics. In E. G. Mikkelsen et al. (Eds.), Bullying and harassment in the workplace. CRC Press.</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(2018).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Sapouna, M. (2010). Bullying in a primary school: A comparison of the prevalence in Greece and the United Kingdom. International Journal of Adolescence and Youth, 16(2), 143–161.</w:t>
      </w:r>
    </w:p>
    <w:p>
      <w:pPr>
        <w:spacing w:line="480" w:lineRule="auto" w:before="0" w:after="0"/>
        <w:ind w:left="720" w:hanging="720"/>
      </w:pPr>
      <w:r>
        <w:rPr>
          <w:rFonts w:ascii="Times New Roman" w:hAnsi="Times New Roman" w:eastAsia="Times New Roman"/>
          <w:sz w:val="24"/>
        </w:rPr>
        <w:t>Saunders, P., Huynh, A., &amp; Goodman-Delahunty, J. (2007). Defining workplace bullying behaviour professional lay definitions of workplace bullying. International Journal of Law and Psychiatry, 30(4–5), 340–354. https://doi.org/10.1016/j.ijlp.2007.06.007</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Sleep, C. E., &amp; Watts, A. L. (2024). Personality change interventions: A systematic review and meta-analysis. Personality Science, advance online publication. [Placeholder pending final publication; pre-print available at PsyArXiv.]</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[in Japanese: 労働力調査（基本集計）2022年（令和４年）平均結果の要約]. Tokyo: Statistics Bureau. Retrieved 2026-04-30 from https://www.e-stat.go.jp/</w:t>
      </w:r>
    </w:p>
    <w:p>
      <w:pPr>
        <w:spacing w:line="480" w:lineRule="auto" w:before="0" w:after="0"/>
        <w:ind w:left="720" w:hanging="720"/>
      </w:pPr>
      <w:r>
        <w:rPr>
          <w:rFonts w:ascii="Times New Roman" w:hAnsi="Times New Roman" w:eastAsia="Times New Roman"/>
          <w:sz w:val="24"/>
        </w:rPr>
        <w:t>Tokiwa, E. (2024). HEXACO-based 7-cluster typology of Japanese personality structure (N = 13,668) [Conference paper]. IEEE [conference name pending citation verification]. [Citation requires final journal/proceedings reference.]</w:t>
      </w:r>
    </w:p>
    <w:p>
      <w:pPr>
        <w:spacing w:line="480" w:lineRule="auto" w:before="0" w:after="0"/>
        <w:ind w:left="720" w:hanging="720"/>
      </w:pPr>
      <w:r>
        <w:rPr>
          <w:rFonts w:ascii="Times New Roman" w:hAnsi="Times New Roman" w:eastAsia="Times New Roman"/>
          <w:sz w:val="24"/>
        </w:rPr>
        <w:t>Tokiwa, E. (2025). Workplace harassment in Japan: A HEXACO and Dark Triad multivariate study (N = 354) [Manuscript in preparation / OSF preprint]. SUNBLAZE Co., Ltd. [Pre-print location pending.]</w:t>
      </w:r>
    </w:p>
    <w:p>
      <w:pPr>
        <w:spacing w:line="480" w:lineRule="auto" w:before="0" w:after="0"/>
        <w:ind w:left="720" w:hanging="720"/>
      </w:pPr>
      <w:r>
        <w:rPr>
          <w:rFonts w:ascii="Times New Roman" w:hAnsi="Times New Roman" w:eastAsia="Times New Roman"/>
          <w:sz w:val="24"/>
        </w:rPr>
        <w:t>Tou, Y. (2017). Development of a workplace power harassment scale [in Japanese]. Japanese Journal of Industrial-Organizational Psychology, [year/vol pending]. [Placeholder for original Japanese-language reference.]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left"/>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Citations marked "[Placeholder ... pending]" require the investigator to verify the original publication metadata. The substantive content of the cited claim is not affected by the placeholder. 2. Tokiwa (2024, IEEE) and Tokiwa (2025, harassment preprint) are self-citations; final DOIs/URLs to be inserted at submission time. 3. MHLW survey series citations point to the Japanese government MHLW website; English-language summaries are available at the same URL with ?lang=en query parameter (verification recommended at submission time). 4. The Sleep &amp; Watts (2024) reference is forthcoming; if not yet published at submission time, the manuscript will substitute Hudson &amp; Fraley (2015) as the principal personality-change-intervention citation.</w:t>
      </w:r>
    </w:p>
    <w:p>
      <w:r>
        <w:br w:type="page"/>
      </w:r>
    </w:p>
    <w:p>
      <w:pPr>
        <w:spacing w:line="480" w:lineRule="auto" w:before="0" w:after="0"/>
        <w:jc w:val="center"/>
      </w:pPr>
      <w:r>
        <w:rPr>
          <w:rFonts w:ascii="Times New Roman" w:hAnsi="Times New Roman" w:eastAsia="Times New Roman"/>
          <w:b/>
          <w:sz w:val="24"/>
        </w:rPr>
        <w:t>Tables</w:t>
      </w:r>
    </w:p>
    <w:p>
      <w:pPr>
        <w:spacing w:line="480" w:lineRule="auto" w:before="0" w:after="0"/>
        <w:jc w:val="left"/>
      </w:pPr>
      <w:r>
        <w:rPr>
          <w:rFonts w:ascii="Times New Roman" w:hAnsi="Times New Roman" w:eastAsia="Times New Roman"/>
          <w:b/>
          <w:sz w:val="24"/>
        </w:rPr>
        <w:t>Table 1. H1 Four-Tier Classification of Mean Absolute Percentage Error (MAPE) Across Three MHLW Validation Periods</w:t>
      </w:r>
    </w:p>
    <w:p>
      <w:pPr>
        <w:spacing w:line="480" w:lineRule="auto" w:before="0" w:after="0"/>
      </w:pPr>
      <w:r>
        <w:rPr>
          <w:rFonts w:ascii="Times New Roman" w:hAnsi="Times New Roman" w:eastAsia="Times New Roman"/>
          <w:sz w:val="24"/>
        </w:rPr>
        <w:t>*Note*. Predicted values are computed via 14-cell HEXACO 7-typology × gender propensity weighted by MHLW Labor Force Survey 2022 marginals. Bootstrap 95% CIs use B = 10,000 cell-stratified resamples (Methods Clarification m3). Tier classification per pre-registered four-tier hierarchy (v2.0 Section 5.4).</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Strict SUCCESS</w:t>
            </w:r>
          </w:p>
        </w:tc>
      </w:tr>
    </w:tbl>
    <w:p>
      <w:pPr>
        <w:spacing w:line="480" w:lineRule="auto" w:before="0" w:after="0"/>
      </w:pPr>
    </w:p>
    <w:p>
      <w:pPr>
        <w:spacing w:line="480" w:lineRule="auto" w:before="0" w:after="0"/>
        <w:jc w:val="left"/>
      </w:pPr>
      <w:r>
        <w:rPr>
          <w:rFonts w:ascii="Times New Roman" w:hAnsi="Times New Roman" w:eastAsia="Times New Roman"/>
          <w:b/>
          <w:sz w:val="24"/>
        </w:rPr>
        <w:t>Table 2. One-at-a-Time (OAT) Sensitivity Sweep Around the Locked v2.0 Main Configuration</w:t>
      </w:r>
    </w:p>
    <w:p>
      <w:pPr>
        <w:spacing w:line="480" w:lineRule="auto" w:before="0" w:after="0"/>
      </w:pPr>
      <w:r>
        <w:rPr>
          <w:rFonts w:ascii="Times New Roman" w:hAnsi="Times New Roman" w:eastAsia="Times New Roman"/>
          <w:sz w:val="24"/>
        </w:rPr>
        <w:t>*Note*. Each row varies the indicated parameter family while holding remaining parameters at the v2.0 main configuration. B = 2,000 percentile CIs reported on FY2016 MAPE.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jc w:val="left"/>
      </w:pPr>
      <w:r>
        <w:rPr>
          <w:rFonts w:ascii="Times New Roman" w:hAnsi="Times New Roman" w:eastAsia="Times New Roman"/>
          <w:b/>
          <w:sz w:val="24"/>
        </w:rPr>
        <w:t>Table 3. Baseline Comparison for H2 Ordinal Trend Hypothesis</w:t>
      </w:r>
    </w:p>
    <w:p>
      <w:pPr>
        <w:spacing w:line="480" w:lineRule="auto" w:before="0" w:after="0"/>
      </w:pPr>
      <w:r>
        <w:rPr>
          <w:rFonts w:ascii="Times New Roman" w:hAnsi="Times New Roman" w:eastAsia="Times New Roman"/>
          <w:sz w:val="24"/>
        </w:rPr>
        <w:t>*Note*. B0 trivially attains MAPE = 0 by construction (its prediction equals MHLW grand mean). H2 was tested via Bonferroni-Holm-corrected pairwise inequalities at one-sided α = 0.05 and Page's L (1963) ordinal trend test as auxiliary. **0 of 4 pairs were confirmed**; Page's L statistic *p* = 0.9757. H2 decision: ambiguous_or_reversed.</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 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Gender-only logistic</w:t>
            </w:r>
          </w:p>
        </w:tc>
        <w:tc>
          <w:tcPr>
            <w:tcW w:type="dxa" w:w="2340"/>
          </w:tcPr>
          <w:p>
            <w:r>
              <w:rPr>
                <w:rFonts w:ascii="Times New Roman" w:hAnsi="Times New Roman" w:eastAsia="Times New Roman"/>
                <w:b w:val="0"/>
                <w:sz w:val="22"/>
              </w:rPr>
              <w:t>45.35%</w:t>
            </w:r>
          </w:p>
        </w:tc>
        <w:tc>
          <w:tcPr>
            <w:tcW w:type="dxa" w:w="2340"/>
          </w:tcPr>
          <w:p>
            <w:r>
              <w:rPr>
                <w:rFonts w:ascii="Times New Roman" w:hAnsi="Times New Roman" w:eastAsia="Times New Roman"/>
                <w:b w:val="0"/>
                <w:sz w:val="22"/>
              </w:rPr>
              <w:t>[45.4, 45.4]</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44.24%</w:t>
            </w:r>
          </w:p>
        </w:tc>
        <w:tc>
          <w:tcPr>
            <w:tcW w:type="dxa" w:w="2340"/>
          </w:tcPr>
          <w:p>
            <w:r>
              <w:rPr>
                <w:rFonts w:ascii="Times New Roman" w:hAnsi="Times New Roman" w:eastAsia="Times New Roman"/>
                <w:b w:val="0"/>
                <w:sz w:val="22"/>
              </w:rPr>
              <w:t>[40.6, 47.7]</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 (main pipeline)</w:t>
            </w:r>
          </w:p>
        </w:tc>
        <w:tc>
          <w:tcPr>
            <w:tcW w:type="dxa" w:w="2340"/>
          </w:tcPr>
          <w:p>
            <w:r>
              <w:rPr>
                <w:rFonts w:ascii="Times New Roman" w:hAnsi="Times New Roman" w:eastAsia="Times New Roman"/>
                <w:b w:val="0"/>
                <w:sz w:val="22"/>
              </w:rPr>
              <w:t>45.51%</w:t>
            </w:r>
          </w:p>
        </w:tc>
        <w:tc>
          <w:tcPr>
            <w:tcW w:type="dxa" w:w="2340"/>
          </w:tcPr>
          <w:p>
            <w:r>
              <w:rPr>
                <w:rFonts w:ascii="Times New Roman" w:hAnsi="Times New Roman" w:eastAsia="Times New Roman"/>
                <w:b w:val="0"/>
                <w:sz w:val="22"/>
              </w:rPr>
              <w:t>[45.5, 45.5]</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46.30%</w:t>
            </w:r>
          </w:p>
        </w:tc>
        <w:tc>
          <w:tcPr>
            <w:tcW w:type="dxa" w:w="2340"/>
          </w:tcPr>
          <w:p>
            <w:r>
              <w:rPr>
                <w:rFonts w:ascii="Times New Roman" w:hAnsi="Times New Roman" w:eastAsia="Times New Roman"/>
                <w:b w:val="0"/>
                <w:sz w:val="22"/>
              </w:rPr>
              <w:t>[44.2, 48.5]</w:t>
            </w:r>
          </w:p>
        </w:tc>
      </w:tr>
    </w:tbl>
    <w:p>
      <w:pPr>
        <w:spacing w:line="480" w:lineRule="auto" w:before="0" w:after="0"/>
      </w:pPr>
    </w:p>
    <w:p>
      <w:pPr>
        <w:spacing w:line="480" w:lineRule="auto" w:before="0" w:after="0"/>
        <w:jc w:val="left"/>
      </w:pPr>
      <w:r>
        <w:rPr>
          <w:rFonts w:ascii="Times New Roman" w:hAnsi="Times New Roman" w:eastAsia="Times New Roman"/>
          <w:b/>
          <w:sz w:val="24"/>
        </w:rPr>
        <w:t>Table 4. Counterfactual ΔP_x Estimates and H7 Intersection-Union Test</w:t>
      </w:r>
    </w:p>
    <w:p>
      <w:pPr>
        <w:spacing w:line="480" w:lineRule="auto" w:before="0" w:after="0"/>
      </w:pPr>
      <w:r>
        <w:rPr>
          <w:rFonts w:ascii="Times New Roman" w:hAnsi="Times New Roman" w:eastAsia="Times New Roman"/>
          <w:sz w:val="24"/>
        </w:rPr>
        <w:t>*Note*. Counterfactual operationalization per pre-registered v2.0 Section 5.7. Positive ΔP indicates *reduction* in prevalence (sign convention). Bootstrap CIs use B = 2,000 cell-stratified resamples. The H7 IUT (Berger &amp; Hsu, 1996) computes one-sided 95% lower bounds L_BA and L_BC; classification: REVERSAL = L_BC &lt; 0 AND L_BA ≥ 0.</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CI excludes 0?</w:t>
            </w:r>
          </w:p>
        </w:tc>
      </w:tr>
      <w:tr>
        <w:tc>
          <w:tcPr>
            <w:tcW w:type="dxa" w:w="1872"/>
          </w:tcPr>
          <w:p>
            <w:r>
              <w:rPr>
                <w:rFonts w:ascii="Times New Roman" w:hAnsi="Times New Roman" w:eastAsia="Times New Roman"/>
                <w:b w:val="0"/>
                <w:sz w:val="22"/>
              </w:rPr>
              <w:t>A (personality)</w:t>
            </w:r>
          </w:p>
        </w:tc>
        <w:tc>
          <w:tcPr>
            <w:tcW w:type="dxa" w:w="1872"/>
          </w:tcPr>
          <w:p>
            <w:r>
              <w:rPr>
                <w:rFonts w:ascii="Times New Roman" w:hAnsi="Times New Roman" w:eastAsia="Times New Roman"/>
                <w:b w:val="0"/>
                <w:sz w:val="22"/>
              </w:rPr>
              <w:t>do(HH ← +0.3σ; A ← +0.3σ;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[−0.0199, +0.0054]</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B (cluster reassignment)</w:t>
            </w:r>
          </w:p>
        </w:tc>
        <w:tc>
          <w:tcPr>
            <w:tcW w:type="dxa" w:w="1872"/>
          </w:tcPr>
          <w:p>
            <w:r>
              <w:rPr>
                <w:rFonts w:ascii="Times New Roman" w:hAnsi="Times New Roman" w:eastAsia="Times New Roman"/>
                <w:b w:val="0"/>
                <w:sz w:val="22"/>
              </w:rPr>
              <w:t>do(cluster ∈ {0, 4, 6})</w:t>
            </w:r>
          </w:p>
        </w:tc>
        <w:tc>
          <w:tcPr>
            <w:tcW w:type="dxa" w:w="1872"/>
          </w:tcPr>
          <w:p>
            <w:r>
              <w:rPr>
                <w:rFonts w:ascii="Times New Roman" w:hAnsi="Times New Roman" w:eastAsia="Times New Roman"/>
                <w:b w:val="0"/>
                <w:sz w:val="22"/>
              </w:rPr>
              <w:t>−0.0058</w:t>
            </w:r>
          </w:p>
        </w:tc>
        <w:tc>
          <w:tcPr>
            <w:tcW w:type="dxa" w:w="1872"/>
          </w:tcPr>
          <w:p>
            <w:r>
              <w:rPr>
                <w:rFonts w:ascii="Times New Roman" w:hAnsi="Times New Roman" w:eastAsia="Times New Roman"/>
                <w:b w:val="0"/>
                <w:sz w:val="22"/>
              </w:rPr>
              <w:t>[−0.0199, +0.0056]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 (structural)</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+0.0354</w:t>
            </w:r>
          </w:p>
        </w:tc>
        <w:tc>
          <w:tcPr>
            <w:tcW w:type="dxa" w:w="1872"/>
          </w:tcPr>
          <w:p>
            <w:r>
              <w:rPr>
                <w:rFonts w:ascii="Times New Roman" w:hAnsi="Times New Roman" w:eastAsia="Times New Roman"/>
                <w:b w:val="0"/>
                <w:sz w:val="22"/>
              </w:rPr>
              <w:t>[+0.0266, +0.0445]</w:t>
            </w:r>
          </w:p>
        </w:tc>
        <w:tc>
          <w:tcPr>
            <w:tcW w:type="dxa" w:w="1872"/>
          </w:tcPr>
          <w:p>
            <w:r>
              <w:rPr>
                <w:rFonts w:ascii="Times New Roman" w:hAnsi="Times New Roman" w:eastAsia="Times New Roman"/>
                <w:b w:val="0"/>
                <w:sz w:val="22"/>
              </w:rPr>
              <w:t>Yes</w:t>
            </w:r>
          </w:p>
        </w:tc>
      </w:tr>
    </w:tbl>
    <w:p>
      <w:pPr>
        <w:spacing w:line="480" w:lineRule="auto" w:before="0" w:after="0"/>
      </w:pPr>
    </w:p>
    <w:p>
      <w:pPr>
        <w:spacing w:line="480" w:lineRule="auto" w:before="0" w:after="0"/>
      </w:pPr>
      <w:r>
        <w:rPr>
          <w:rFonts w:ascii="Times New Roman" w:hAnsi="Times New Roman" w:eastAsia="Times New Roman"/>
          <w:sz w:val="24"/>
        </w:rPr>
        <w:t>**H7 IUT:** L_BA = 0.0003, L_BC = −0.0413 → **REVERSAL**</w:t>
      </w:r>
    </w:p>
    <w:p>
      <w:pPr>
        <w:spacing w:line="480" w:lineRule="auto" w:before="0" w:after="0"/>
      </w:pPr>
      <w:r>
        <w:rPr>
          <w:rFonts w:ascii="Times New Roman" w:hAnsi="Times New Roman" w:eastAsia="Times New Roman"/>
          <w:sz w:val="24"/>
        </w:rPr>
        <w:t>**Positivity diagnostic (Methods Clarification m5):** Counterfactual A and C trivially preserve positivity. Counterfactual B's flagged-weight share = 45.8%; m5 downgrade rule triggered. We interpret B's null finding as exploratory rather than confirmatory.</w:t>
      </w:r>
    </w:p>
    <w:p>
      <w:pPr>
        <w:spacing w:line="480" w:lineRule="auto" w:before="0" w:after="0"/>
        <w:jc w:val="left"/>
      </w:pPr>
      <w:r>
        <w:rPr>
          <w:rFonts w:ascii="Times New Roman" w:hAnsi="Times New Roman" w:eastAsia="Times New Roman"/>
          <w:b/>
          <w:sz w:val="24"/>
        </w:rPr>
        <w:t>Table 5. Transportability Sensitivity (H7 Re-classification Across Cultural Attenuation Factors)</w:t>
      </w:r>
    </w:p>
    <w:p>
      <w:pPr>
        <w:spacing w:line="480" w:lineRule="auto" w:before="0" w:after="0"/>
      </w:pPr>
      <w:r>
        <w:rPr>
          <w:rFonts w:ascii="Times New Roman" w:hAnsi="Times New Roman" w:eastAsia="Times New Roman"/>
          <w:sz w:val="24"/>
        </w:rPr>
        <w:t>*Note*. Each row applies factor F multiplicatively to the bootstrap distribution of all three ΔP_x; H7 IUT is re-classified per attenuated factor.</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w:t>
            </w:r>
          </w:p>
        </w:tc>
        <w:tc>
          <w:tcPr>
            <w:tcW w:type="dxa" w:w="1872"/>
          </w:tcPr>
          <w:p>
            <w:r>
              <w:rPr>
                <w:rFonts w:ascii="Times New Roman" w:hAnsi="Times New Roman" w:eastAsia="Times New Roman"/>
                <w:b/>
                <w:sz w:val="22"/>
              </w:rPr>
              <w:t>ΔP_C (att)</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Sapouna 2010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+0.0106</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2017 expected</w:t>
            </w:r>
          </w:p>
        </w:tc>
        <w:tc>
          <w:tcPr>
            <w:tcW w:type="dxa" w:w="1872"/>
          </w:tcPr>
          <w:p>
            <w:r>
              <w:rPr>
                <w:rFonts w:ascii="Times New Roman" w:hAnsi="Times New Roman" w:eastAsia="Times New Roman"/>
                <w:b w:val="0"/>
                <w:sz w:val="22"/>
              </w:rPr>
              <w:t>−0.0030</w:t>
            </w:r>
          </w:p>
        </w:tc>
        <w:tc>
          <w:tcPr>
            <w:tcW w:type="dxa" w:w="1872"/>
          </w:tcPr>
          <w:p>
            <w:r>
              <w:rPr>
                <w:rFonts w:ascii="Times New Roman" w:hAnsi="Times New Roman" w:eastAsia="Times New Roman"/>
                <w:b w:val="0"/>
                <w:sz w:val="22"/>
              </w:rPr>
              <w:t>+0.0177</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−0.0042</w:t>
            </w:r>
          </w:p>
        </w:tc>
        <w:tc>
          <w:tcPr>
            <w:tcW w:type="dxa" w:w="1872"/>
          </w:tcPr>
          <w:p>
            <w:r>
              <w:rPr>
                <w:rFonts w:ascii="Times New Roman" w:hAnsi="Times New Roman" w:eastAsia="Times New Roman"/>
                <w:b w:val="0"/>
                <w:sz w:val="22"/>
              </w:rPr>
              <w:t>+0.0248</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+0.0354</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left"/>
      </w:pPr>
      <w:r>
        <w:rPr>
          <w:rFonts w:ascii="Times New Roman" w:hAnsi="Times New Roman" w:eastAsia="Times New Roman"/>
          <w:b/>
          <w:sz w:val="24"/>
        </w:rPr>
        <w:t>Table 6. Pre-Registered Hypothesis Outcomes Summary</w:t>
      </w:r>
    </w:p>
    <w:p>
      <w:pPr>
        <w:spacing w:line="480" w:lineRule="auto" w:before="0" w:after="0"/>
      </w:pPr>
      <w:r>
        <w:rPr>
          <w:rFonts w:ascii="Times New Roman" w:hAnsi="Times New Roman" w:eastAsia="Times New Roman"/>
          <w:sz w:val="24"/>
        </w:rPr>
        <w:t>*Note*. Hypothesis classification per v2.0 pre-registration master Section 5.4 (H1) and Section 5.7 (H7).</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Verified in centroid study</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w:t>
            </w:r>
          </w:p>
        </w:tc>
        <w:tc>
          <w:tcPr>
            <w:tcW w:type="dxa" w:w="2340"/>
          </w:tcPr>
          <w:p>
            <w:r>
              <w:rPr>
                <w:rFonts w:ascii="Times New Roman" w:hAnsi="Times New Roman" w:eastAsia="Times New Roman"/>
                <w:b w:val="0"/>
                <w:sz w:val="22"/>
              </w:rPr>
              <w:t>All 14 cells resolved at BCa</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14-cell vs 28-cell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Spearman ρ &gt; 0.80</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F=0.3–1.0)</w:t>
            </w:r>
          </w:p>
        </w:tc>
        <w:tc>
          <w:tcPr>
            <w:tcW w:type="dxa" w:w="2340"/>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center"/>
      </w:pPr>
      <w:r>
        <w:rPr>
          <w:rFonts w:ascii="Times New Roman" w:hAnsi="Times New Roman" w:eastAsia="Times New Roman"/>
          <w:b/>
          <w:sz w:val="24"/>
        </w:rPr>
        <w:t>Figures</w:t>
      </w:r>
    </w:p>
    <w:p>
      <w:pPr>
        <w:spacing w:line="480" w:lineRule="auto" w:before="0" w:after="0"/>
        <w:jc w:val="left"/>
      </w:pPr>
      <w:r>
        <w:rPr>
          <w:rFonts w:ascii="Times New Roman" w:hAnsi="Times New Roman" w:eastAsia="Times New Roman"/>
          <w:b/>
          <w:sz w:val="24"/>
        </w:rPr>
        <w:t>Figure 1. Pipeline Schematic</w:t>
      </w:r>
    </w:p>
    <w:p>
      <w:pPr>
        <w:spacing w:line="480" w:lineRule="auto" w:before="0" w:after="0"/>
      </w:pPr>
      <w:r>
        <w:rPr>
          <w:rFonts w:ascii="Times New Roman" w:hAnsi="Times New Roman" w:eastAsia="Times New Roman"/>
          <w:sz w:val="24"/>
        </w:rPr>
        <w:t>A box-and-arrow diagram of the nine pre-registered pipeline stages, showing the data inputs (N=354 individual data; IEEE 7-cluster centroids; MHLW Labor Force Survey 2022) flowing through Stages 0–8 with their HDF5 outputs. To be generated as PNG/SVG by `simulation/code/report.py`.</w:t>
      </w:r>
    </w:p>
    <w:p>
      <w:pPr>
        <w:spacing w:line="480" w:lineRule="auto" w:before="0" w:after="0"/>
      </w:pPr>
      <w:r>
        <w:rPr>
          <w:rFonts w:ascii="Times New Roman" w:hAnsi="Times New Roman" w:eastAsia="Times New Roman"/>
          <w:sz w:val="24"/>
        </w:rPr>
        <w:t>**Caption.** *The HEXACO 7-typology workplace harassment microsimulation pipeline. Stage 0 (cell propensity) feeds into Stage 1 (population aggregation, MHLW reweighted) and Stage 2 (H1 four-tier classification). Stage 3 (sensitivity), Stage 4 (baselines), Stage 5 (CMV diagnostic), Stage 6 (target trial PICO), Stage 7 (counterfactuals + H7 IUT), and Stage 8 (transportability) operate in parallel after Stage 2.*</w:t>
      </w:r>
    </w:p>
    <w:p>
      <w:pPr>
        <w:spacing w:line="480" w:lineRule="auto" w:before="0" w:after="0"/>
        <w:jc w:val="left"/>
      </w:pPr>
      <w:r>
        <w:rPr>
          <w:rFonts w:ascii="Times New Roman" w:hAnsi="Times New Roman" w:eastAsia="Times New Roman"/>
          <w:b/>
          <w:sz w:val="24"/>
        </w:rPr>
        <w:t>Figure 2. 14-Cell Cell-Level Propensity (Stage 0)</w:t>
      </w:r>
    </w:p>
    <w:p>
      <w:pPr>
        <w:spacing w:line="480" w:lineRule="auto" w:before="0" w:after="0"/>
      </w:pPr>
      <w:r>
        <w:rPr>
          <w:rFonts w:ascii="Times New Roman" w:hAnsi="Times New Roman" w:eastAsia="Times New Roman"/>
          <w:sz w:val="24"/>
        </w:rPr>
        <w:t>A heatmap of P̂_c across 7 HEXACO clusters × 2 genders, with cell sizes overlaid. Cell ordering follows the v2.0 master Section 5.1 convention (cluster × 2 + gender index).</w:t>
      </w:r>
    </w:p>
    <w:p>
      <w:pPr>
        <w:spacing w:line="480" w:lineRule="auto" w:before="0" w:after="0"/>
      </w:pPr>
      <w:r>
        <w:rPr>
          <w:rFonts w:ascii="Times New Roman" w:hAnsi="Times New Roman" w:eastAsia="Times New Roman"/>
          <w:sz w:val="24"/>
        </w:rPr>
        <w:t>**Caption.** *Per-cell power-harassment victimization propensities P̂_c with 95% BCa CIs. Cell sizes (N_c) range from 10 to 70 (median 18). Color encodes propensity (blue = low; red = high). Cells with N_c &lt; 20 are demarcated with a dashed boundary.*</w:t>
      </w:r>
    </w:p>
    <w:p>
      <w:pPr>
        <w:spacing w:line="480" w:lineRule="auto" w:before="0" w:after="0"/>
        <w:jc w:val="left"/>
      </w:pPr>
      <w:r>
        <w:rPr>
          <w:rFonts w:ascii="Times New Roman" w:hAnsi="Times New Roman" w:eastAsia="Times New Roman"/>
          <w:b/>
          <w:sz w:val="24"/>
        </w:rPr>
        <w:t>Figure 3. National Prevalence vs MHLW Validation Targets</w:t>
      </w:r>
    </w:p>
    <w:p>
      <w:pPr>
        <w:spacing w:line="480" w:lineRule="auto" w:before="0" w:after="0"/>
      </w:pPr>
      <w:r>
        <w:rPr>
          <w:rFonts w:ascii="Times New Roman" w:hAnsi="Times New Roman" w:eastAsia="Times New Roman"/>
          <w:sz w:val="24"/>
        </w:rPr>
        <w:t>A bar chart of model-predicted P̂ = 0.1744 (single bar) overlaid with the three MHLW validation targets (FY2016 = 0.325, FY2020 = 0.314, FY2023 = 0.193) as horizontal reference lines, with the staged enforcement period of the 2020 Power Harassment Prevention Law shaded.</w:t>
      </w:r>
    </w:p>
    <w:p>
      <w:pPr>
        <w:spacing w:line="480" w:lineRule="auto" w:before="0" w:after="0"/>
      </w:pPr>
      <w:r>
        <w:rPr>
          <w:rFonts w:ascii="Times New Roman" w:hAnsi="Times New Roman" w:eastAsia="Times New Roman"/>
          <w:sz w:val="24"/>
        </w:rPr>
        <w:t>**Caption.** *Model-based national prevalence (P̂ = 17.44%, blue bar) compared with MHLW past-three-year power-harassment victimization targets across three survey periods. The 2020 Power Harassment Prevention Law's staged enforcement (large enterprises 2020-06; SMEs 2022-04) coincides with the FY2020 → FY2023 decline. Predicted prevalence aligns most closely with the post-law FY2023 target (Strict SUCCESS).*</w:t>
      </w:r>
    </w:p>
    <w:p>
      <w:pPr>
        <w:spacing w:line="480" w:lineRule="auto" w:before="0" w:after="0"/>
        <w:jc w:val="left"/>
      </w:pPr>
      <w:r>
        <w:rPr>
          <w:rFonts w:ascii="Times New Roman" w:hAnsi="Times New Roman" w:eastAsia="Times New Roman"/>
          <w:b/>
          <w:sz w:val="24"/>
        </w:rPr>
        <w:t>Figure 4. OAT Sensitivity Tornado Plot</w:t>
      </w:r>
    </w:p>
    <w:p>
      <w:pPr>
        <w:spacing w:line="480" w:lineRule="auto" w:before="0" w:after="0"/>
      </w:pPr>
      <w:r>
        <w:rPr>
          <w:rFonts w:ascii="Times New Roman" w:hAnsi="Times New Roman" w:eastAsia="Times New Roman"/>
          <w:sz w:val="24"/>
        </w:rPr>
        <w:t>A tornado plot with parameter families on the y-axis and MAPE_FY2016 horizontal bars on the x-axis, ordered by sensitivity magnitude. The two sensitive families (binarization, cluster mass) appear at the top with wide bars; the two stable families (soft τ, EB scale) appear at the bottom with narrow bars. The locked main configuration is marked with a vertical reference line.</w:t>
      </w:r>
    </w:p>
    <w:p>
      <w:pPr>
        <w:spacing w:line="480" w:lineRule="auto" w:before="0" w:after="0"/>
      </w:pPr>
      <w:r>
        <w:rPr>
          <w:rFonts w:ascii="Times New Roman" w:hAnsi="Times New Roman" w:eastAsia="Times New Roman"/>
          <w:sz w:val="24"/>
        </w:rPr>
        <w:t>**Caption.** *One-at-a-time sensitivity sweep of FY2016 MAPE. Binarization threshold and cluster mass shift exhibit substantial sensitivity (range 29.6% to 56.5%), whereas soft-assignment τ and empirical Bayes shrinkage scale exhibit negligible sensitivity (range &lt; 0.5%). Vertical line at 45.51% marks the locked v2.0 main configuration.*</w:t>
      </w:r>
    </w:p>
    <w:p>
      <w:pPr>
        <w:spacing w:line="480" w:lineRule="auto" w:before="0" w:after="0"/>
        <w:jc w:val="left"/>
      </w:pPr>
      <w:r>
        <w:rPr>
          <w:rFonts w:ascii="Times New Roman" w:hAnsi="Times New Roman" w:eastAsia="Times New Roman"/>
          <w:b/>
          <w:sz w:val="24"/>
        </w:rPr>
        <w:t>Figure 5. Counterfactual ΔP_x Forest Plot</w:t>
      </w:r>
    </w:p>
    <w:p>
      <w:pPr>
        <w:spacing w:line="480" w:lineRule="auto" w:before="0" w:after="0"/>
      </w:pPr>
      <w:r>
        <w:rPr>
          <w:rFonts w:ascii="Times New Roman" w:hAnsi="Times New Roman" w:eastAsia="Times New Roman"/>
          <w:sz w:val="24"/>
        </w:rPr>
        <w:t>A forest plot with three counterfactuals on the y-axis (A, B, C), point estimates with 95% CIs as horizontal whiskers, and a vertical reference line at ΔP = 0. Counterfactuals A and B's CIs overlap zero; Counterfactual C's CI excludes zero on the positive side.</w:t>
      </w:r>
    </w:p>
    <w:p>
      <w:pPr>
        <w:spacing w:line="480" w:lineRule="auto" w:before="0" w:after="0"/>
      </w:pPr>
      <w:r>
        <w:rPr>
          <w:rFonts w:ascii="Times New Roman" w:hAnsi="Times New Roman" w:eastAsia="Times New Roman"/>
          <w:sz w:val="24"/>
        </w:rPr>
        <w:t>**Caption.** *Counterfactual ΔP_x estimates and 95% CIs. Personality intervention (A; +0.3 SD on H/A/E) and cluster reassignment (B; do(cluster ∈ {0, 4, 6})) yield null effects (CIs cross zero). Structural intervention (C; −20% propensity, calibrated against three meta-analyses and the MHLW 2020 Law natural experiment) yields a positive effect of +3.54 percentage points (CI excludes zero on the positive side). The H7 intersection-union test (Berger &amp; Hsu, 1996) classifies this configuration as REVERSAL.*</w:t>
      </w:r>
    </w:p>
    <w:p>
      <w:pPr>
        <w:spacing w:line="480" w:lineRule="auto" w:before="0" w:after="0"/>
        <w:jc w:val="left"/>
      </w:pPr>
      <w:r>
        <w:rPr>
          <w:rFonts w:ascii="Times New Roman" w:hAnsi="Times New Roman" w:eastAsia="Times New Roman"/>
          <w:b/>
          <w:sz w:val="24"/>
        </w:rPr>
        <w:t>Figure 6. Transportability Robustness</w:t>
      </w:r>
    </w:p>
    <w:p>
      <w:pPr>
        <w:spacing w:line="480" w:lineRule="auto" w:before="0" w:after="0"/>
      </w:pPr>
      <w:r>
        <w:rPr>
          <w:rFonts w:ascii="Times New Roman" w:hAnsi="Times New Roman" w:eastAsia="Times New Roman"/>
          <w:sz w:val="24"/>
        </w:rPr>
        <w:t>A line plot with cultural attenuation factor F on the x-axis (0.3 to 1.0) and ΔP_x on the y-axis. Three lines for ΔP_A, ΔP_B, ΔP_C, with 95% CIs as shaded bands. The ΔP_C line remains above zero across the entire factor range; the ΔP_A and ΔP_B lines remain centered on zero.</w:t>
      </w:r>
    </w:p>
    <w:p>
      <w:pPr>
        <w:spacing w:line="480" w:lineRule="auto" w:before="0" w:after="0"/>
      </w:pPr>
      <w:r>
        <w:rPr>
          <w:rFonts w:ascii="Times New Roman" w:hAnsi="Times New Roman" w:eastAsia="Times New Roman"/>
          <w:sz w:val="24"/>
        </w:rPr>
        <w:t>**Caption.** *H7 IUT classification under cultural attenuation factors F ∈ {0.3, 0.5, 0.7, 1.0}. The REVERSAL classification (structural dominance) is preserved across all four factors, including the Sapouna (2010) UK→Germany worst-case anchor (F = 0.3) and the Nielsen (2017) Asia/Oceania expected attenuation (F = 0.5).*</w:t>
      </w:r>
    </w:p>
    <w:p>
      <w:pPr>
        <w:pStyle w:val="ListBullet"/>
        <w:spacing w:line="480" w:lineRule="auto" w:before="0" w:after="0"/>
      </w:pPr>
      <w:r>
        <w:rPr>
          <w:rFonts w:ascii="Times New Roman" w:hAnsi="Times New Roman" w:eastAsia="Times New Roman"/>
          <w:sz w:val="24"/>
        </w:rPr>
        <w:t>Tables 1–6: Embedded in manuscript_preprint.docx as native Word tables with APA-style formatting (Times New Roman 12 pt, double-spaced, lines below header and final row).</w:t>
      </w:r>
    </w:p>
    <w:p>
      <w:pPr>
        <w:pStyle w:val="ListBullet"/>
        <w:spacing w:line="480" w:lineRule="auto" w:before="0" w:after="0"/>
      </w:pPr>
      <w:r>
        <w:rPr>
          <w:rFonts w:ascii="Times New Roman" w:hAnsi="Times New Roman" w:eastAsia="Times New Roman"/>
          <w:sz w:val="24"/>
        </w:rPr>
        <w:t>Figure 1 (pipeline schematic): Generated by simulation/code/report.py as simulation/output/figure1_pipeline.png. The pipeline schematic is illustrative; values come from the v2.0 master.</w:t>
      </w:r>
    </w:p>
    <w:p>
      <w:pPr>
        <w:pStyle w:val="ListBullet"/>
        <w:spacing w:line="480" w:lineRule="auto" w:before="0" w:after="0"/>
      </w:pPr>
      <w:r>
        <w:rPr>
          <w:rFonts w:ascii="Times New Roman" w:hAnsi="Times New Roman" w:eastAsia="Times New Roman"/>
          <w:sz w:val="24"/>
        </w:rPr>
        <w:t>Figure 2 (14-cell heatmap): Generated from output/supplementary/stage0_cell_propensity.h5 via matplotlib.</w:t>
      </w:r>
    </w:p>
    <w:p>
      <w:pPr>
        <w:pStyle w:val="ListBullet"/>
        <w:spacing w:line="480" w:lineRule="auto" w:before="0" w:after="0"/>
      </w:pPr>
      <w:r>
        <w:rPr>
          <w:rFonts w:ascii="Times New Roman" w:hAnsi="Times New Roman" w:eastAsia="Times New Roman"/>
          <w:sz w:val="24"/>
        </w:rPr>
        <w:t>Figure 3 (prevalence comparison): Generated from stage1_population_aggregation.h5 and stage2_validation.h5.</w:t>
      </w:r>
    </w:p>
    <w:p>
      <w:pPr>
        <w:pStyle w:val="ListBullet"/>
        <w:spacing w:line="480" w:lineRule="auto" w:before="0" w:after="0"/>
      </w:pPr>
      <w:r>
        <w:rPr>
          <w:rFonts w:ascii="Times New Roman" w:hAnsi="Times New Roman" w:eastAsia="Times New Roman"/>
          <w:sz w:val="24"/>
        </w:rPr>
        <w:t>Figure 4 (sensitivity tornado): Generated from stage3_sensitivity.h5.</w:t>
      </w:r>
    </w:p>
    <w:p>
      <w:pPr>
        <w:pStyle w:val="ListBullet"/>
        <w:spacing w:line="480" w:lineRule="auto" w:before="0" w:after="0"/>
      </w:pPr>
      <w:r>
        <w:rPr>
          <w:rFonts w:ascii="Times New Roman" w:hAnsi="Times New Roman" w:eastAsia="Times New Roman"/>
          <w:sz w:val="24"/>
        </w:rPr>
        <w:t>Figure 5 (counterfactual forest): Generated from stage7_counterfactual.h5.</w:t>
      </w:r>
    </w:p>
    <w:p>
      <w:pPr>
        <w:pStyle w:val="ListBullet"/>
        <w:spacing w:line="480" w:lineRule="auto" w:before="0" w:after="0"/>
      </w:pPr>
      <w:r>
        <w:rPr>
          <w:rFonts w:ascii="Times New Roman" w:hAnsi="Times New Roman" w:eastAsia="Times New Roman"/>
          <w:sz w:val="24"/>
        </w:rPr>
        <w:t>Figure 6 (transportability): Generated from stage8_transportability.h5.</w:t>
      </w:r>
    </w:p>
    <w:p>
      <w:pPr>
        <w:spacing w:line="480" w:lineRule="auto" w:before="0" w:after="0"/>
      </w:pPr>
      <w:r>
        <w:rPr>
          <w:rFonts w:ascii="Times New Roman" w:hAnsi="Times New Roman" w:eastAsia="Times New Roman"/>
          <w:sz w:val="24"/>
        </w:rPr>
        <w:t>All figures are saved at 300 DPI in PNG and PDF formats; vector versions (SVG) are also produced for journal submission. PNG embeds are used in `manuscript_preprint.docx` and `manuscript_journal.docx`; PDF/SVG accompany the journal submission as separate files (per RSOS Stage 2 RR submission requirements).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