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2018). The former approach assumes that harassment is largely driven by individual disposition; the latter, that it is largely driven by environmental affordance. Despite extensive research linking personality traits to bullying and harassment (Nielsen,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2014; Linton &amp; Power, 2013; Nielsen, 2017). However, the magnitude of these associations is generally modest (uncorrected r typically in the range 0.10–0.30; Nielsen, 2017), and recent meta-analyses suggest considerable cross-cultural heterogeneity, with effect sizes attenuated in collectivist relative to individualist cultures (Sapouna, 2010 found a null UK→Germany attenuation pattern in workplace contexts; Nielsen, 2017 reported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(Hodgins, 2014; Salin, 2018; Saunders, 2007),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(Hodgins, 2014; Salin, 2018; Saunders, 2007)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Sapouna (2010) UK→Germany null worst case;</w:t>
      </w:r>
    </w:p>
    <w:p>
      <w:pPr>
        <w:pStyle w:val="ListBullet"/>
        <w:spacing w:line="480" w:lineRule="auto" w:before="0" w:after="0"/>
      </w:pPr>
      <w:r>
        <w:rPr>
          <w:rFonts w:ascii="Times New Roman" w:hAnsi="Times New Roman" w:eastAsia="Times New Roman"/>
          <w:sz w:val="24"/>
        </w:rPr>
        <w:t>F = 0.5: Nielsen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Sapouna 2010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worst-case Sapouna (2010) UK→Germany null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Sapouna (2010) UK→Germany worst-case anchor.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(2018), Saunders (2007), and Hodgins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2018; Saunders, 2007; Hodgins,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(2014).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(2017). The HEXACO model and workplace bullying: Personality and victim characteristics. In E. G. Mikkelsen et al. (Eds.), Bullying and harassment in the workplace. CRC Press.</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(2018).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Sapouna, M. (2010). Bullying in a primary school: A comparison of the prevalence in Greece and the United Kingdom. International Journal of Adolescence and Youth, 16(2), 143–161.</w:t>
      </w:r>
    </w:p>
    <w:p>
      <w:pPr>
        <w:spacing w:line="480" w:lineRule="auto" w:before="0" w:after="0"/>
        <w:ind w:left="720" w:hanging="720"/>
      </w:pPr>
      <w:r>
        <w:rPr>
          <w:rFonts w:ascii="Times New Roman" w:hAnsi="Times New Roman" w:eastAsia="Times New Roman"/>
          <w:sz w:val="24"/>
        </w:rPr>
        <w:t>Saunders, P., Huynh, A., &amp; Goodman-Delahunty, J. (2007). Defining workplace bullying behaviour professional lay definitions of workplace bullying. International Journal of Law and Psychiatry, 30(4–5), 340–354. https://doi.org/10.1016/j.ijlp.2007.06.007</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