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Personality Interventions Don't Work; Structural Ones Do: Counterfactual Evidence from a HEXACO 7-Typology Workplace Harassment Microsimulation in Japan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Predicted values are computed via 14-cell HEXACO 7-typology × gender propensity weighted by MHLW Labor Force Survey 2022 marginals. Bootstrap 95% CIs use B = 10,000 cell-stratified resamples (Methods Clarification m3). Tier classification per pre-registered four-tier hierarchy (v2.0 Section 5.4).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Strict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B0 trivially attains MAPE = 0 by construction (its prediction equals MHLW grand mean). H2 was tested via Bonferroni-Holm-corrected pairwise inequalities at one-sided α = 0.05 and Page's L (1963) ordinal trend test as auxiliary. **0 of 4 pairs were confirmed**; Page's L statistic *p* = 0.9757. H2 decision: ambiguous_or_reversed.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[0.0, 0.0]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45.35%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[45.4, 45.4]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44.24%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[40.6, 47.7]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[45.5, 45.5]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[44.2, 48.5]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Counterfactual operationalization per pre-registered v2.0 Section 5.7. Positive ΔP indicates *reduction* in prevalence (sign convention). Bootstrap CIs use B = 2,000 cell-stratified resamples. The H7 IUT (Berger &amp; Hsu, 1996) computes one-sided 95% lower bounds L_BA and L_BC; classification: REVERSAL = L_BC &lt; 0 AND L_BA ≥ 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[−0.0199, +0.0054]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(cluster reassignment)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do(cluster ∈ {0, 4, 6})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[−0.0199, +0.0056]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+0.0354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[+0.0266, +0.0445]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**H7 IUT:** L_BA = 0.0003, L_BC = −0.0413 → **REVERSAL**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**Positivity diagnostic (Methods Clarification m5):** Counterfactual A and C trivially preserve positivity. Counterfactual B's flagged-weight share = 45.8%; m5 downgrade rule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Sapouna 2010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+0.0354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Hypothesis classification per v2.0 pre-registration master Section 5.4 (H1) and Section 5.7 (H7).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Verified in centroid study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All 14 cells resolved at BCa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vs 28-cell stable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&gt; 0.80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figures are saved at 300 DPI in PNG and PDF formats; vector versions (SVG) are also produced for journal submission. PNG embeds are used in `manuscript_preprint.docx` and `manuscript_journal.docx`; PDF/SVG accompany the journal submission as separate files (per RSOS Stage 2 RR submission requirements).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