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Personality Interventions Don't Work; Structural Ones Do: Counterfactual Evidence from a HEXACO 7-Typology Workplace Harassment Microsimulation in Japan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Figures (captions)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1. Pipeline Schematic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box-and-arrow diagram of the nine pre-registered pipeline stages, showing the data inputs (N=354 individual data; IEEE 7-cluster centroids; MHLW Labor Force Survey 2022) flowing through Stages 0–8 with their HDF5 outputs. To be generated as PNG/SVG by `simulation/code/report.py`.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*The HEXACO 7-typology workplace harassment microsimulation pipeline. Stage 0 (cell propensity) feeds into Stage 1 (population aggregation, MHLW reweighted) and Stage 2 (H1 four-tier classification). Stage 3 (sensitivity), Stage 4 (baselines), Stage 5 (CMV diagnostic), Stage 6 (target trial PICO), Stage 7 (counterfactuals + H7 IUT), and Stage 8 (transportability) operate in parallel after Stage 2.*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2. 14-Cell Cell-Level Propensity (Stage 0)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heatmap of P̂_c across 7 HEXACO clusters × 2 genders, with cell sizes overlaid. Cell ordering follows the v2.0 master Section 5.1 convention (cluster × 2 + gender index).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*Per-cell power-harassment victimization propensities P̂_c with 95% BCa CIs. Cell sizes (N_c) range from 10 to 70 (median 18). Color encodes propensity (blue = low; red = high). Cells with N_c &lt; 20 are demarcated with a dashed boundary.*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3. National Prevalence vs MHLW Validation Targets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bar chart of model-predicted P̂ = 0.1744 (single bar) overlaid with the three MHLW validation targets (FY2016 = 0.325, FY2020 = 0.314, FY2023 = 0.193) as horizontal reference lines, with the staged enforcement period of the 2020 Power Harassment Prevention Law shaded.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*Model-based national prevalence (P̂ = 17.44%, blue bar) compared with MHLW past-three-year power-harassment victimization targets across three survey periods. The 2020 Power Harassment Prevention Law's staged enforcement (large enterprises 2020-06; SMEs 2022-04) coincides with the FY2020 → FY2023 decline. Predicted prevalence aligns most closely with the post-law FY2023 target (Strict SUCCESS).*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4. OAT Sensitivity Tornado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tornado plot with parameter families on the y-axis and MAPE_FY2016 horizontal bars on the x-axis, ordered by sensitivity magnitude. The two sensitive families (binarization, cluster mass) appear at the top with wide bars; the two stable families (soft τ, EB scale) appear at the bottom with narrow bars. The locked main configuration is marked with a vertical reference line.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*One-at-a-time sensitivity sweep of FY2016 MAPE. Binarization threshold and cluster mass shift exhibit substantial sensitivity (range 29.6% to 56.5%), whereas soft-assignment τ and empirical Bayes shrinkage scale exhibit negligible sensitivity (range &lt; 0.5%). Vertical line at 45.51% marks the locked v2.0 main configuration.*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5. Counterfactual ΔP_x Forest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forest plot with three counterfactuals on the y-axis (A, B, C), point estimates with 95% CIs as horizontal whiskers, and a vertical reference line at ΔP = 0. Counterfactuals A and B's CIs overlap zero; Counterfactual C's CI excludes zero on the positive side.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*Counterfactual ΔP_x estimates and 95% CIs. Personality intervention (A; +0.3 SD on H/A/E) and cluster reassignment (B; do(cluster ∈ {0, 4, 6})) yield null effects (CIs cross zero). Structural intervention (C; −20% propensity, calibrated against three meta-analyses and the MHLW 2020 Law natural experiment) yields a positive effect of +3.54 percentage points (CI excludes zero on the positive side). The H7 intersection-union test (Berger &amp; Hsu, 1996) classifies this configuration as REVERSAL.*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6. Transportability Robustness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line plot with cultural attenuation factor F on the x-axis (0.3 to 1.0) and ΔP_x on the y-axis. Three lines for ΔP_A, ΔP_B, ΔP_C, with 95% CIs as shaded bands. The ΔP_C line remains above zero across the entire factor range; the ΔP_A and ΔP_B lines remain centered on zero.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*H7 IUT classification under cultural attenuation factors F ∈ {0.3, 0.5, 0.7, 1.0}. The REVERSAL classification (structural dominance) is preserved across all four factors, including the Sapouna (2010) UK→Germany worst-case anchor (F = 0.3) and the Nielsen (2017) Asia/Oceania expected attenuation (F = 0.5).*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