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rPr>
          <w:rFonts w:ascii="Times New Roman" w:hAnsi="Times New Roman" w:eastAsia="Times New Roman"/>
          <w:sz w:val="24"/>
        </w:rPr>
        <w:t>[Date]</w:t>
      </w:r>
    </w:p>
    <w:p>
      <w:pPr>
        <w:spacing w:line="276" w:lineRule="auto" w:after="120"/>
      </w:pPr>
      <w:r>
        <w:rPr>
          <w:rFonts w:ascii="Times New Roman" w:hAnsi="Times New Roman" w:eastAsia="Times New Roman"/>
          <w:sz w:val="24"/>
        </w:rPr>
        <w:t>The Editors</w:t>
      </w:r>
    </w:p>
    <w:p>
      <w:pPr>
        <w:spacing w:line="276" w:lineRule="auto" w:after="120"/>
      </w:pPr>
      <w:r>
        <w:rPr>
          <w:rFonts w:ascii="Times New Roman" w:hAnsi="Times New Roman" w:eastAsia="Times New Roman"/>
          <w:sz w:val="24"/>
        </w:rPr>
        <w:t>Journal of Occupational Health Psychology (American Psychological Association)</w:t>
      </w:r>
    </w:p>
    <w:p>
      <w:pPr>
        <w:spacing w:line="276" w:lineRule="auto" w:after="120"/>
      </w:pPr>
      <w:r>
        <w:rPr>
          <w:rFonts w:ascii="Times New Roman" w:hAnsi="Times New Roman" w:eastAsia="Times New Roman"/>
          <w:sz w:val="24"/>
        </w:rPr>
        <w:t>Dear Editors,</w:t>
      </w:r>
    </w:p>
    <w:p>
      <w:pPr>
        <w:spacing w:line="276" w:lineRule="auto" w:after="120"/>
      </w:pPr>
      <w:r>
        <w:rPr>
          <w:rFonts w:ascii="Times New Roman" w:hAnsi="Times New Roman" w:eastAsia="Times New Roman"/>
          <w:sz w:val="24"/>
        </w:rPr>
        <w:t>I am pleased to submit the enclosed manuscript, Person-Level versus System-Level Anti-Harassment Interventions: A HEXACO 7-Typology Counterfactual Microsimulation in Japanese Workplaces, for consideration at the Journal of Occupational Health Psychology.</w:t>
      </w:r>
    </w:p>
    <w:p>
      <w:pPr>
        <w:spacing w:line="276" w:lineRule="auto" w:after="120"/>
      </w:pPr>
      <w:r>
        <w:rPr>
          <w:rFonts w:ascii="Times New Roman" w:hAnsi="Times New Roman" w:eastAsia="Times New Roman"/>
          <w:sz w:val="24"/>
        </w:rPr>
        <w:t>This submission implements, without deviation, the analysis pre-registered as v2.0 at the Open Science Framework (DOI 10.17605/OSF.IO/3Y54U; registered 2026-04-30). All seven primary hypotheses (H1–H7) are evaluated against pre-registered classification rules; all sensitivity sweeps and diagnostic procedures specified in the pre-registration are executed and reported. The Methods Clarifications Log accompanying the v2.0 registration documents 16 minor specification clarifications resolved during the Stage 1 protocol-development phase.</w:t>
      </w:r>
    </w:p>
    <w:p>
      <w:pPr>
        <w:spacing w:line="276" w:lineRule="auto" w:after="120"/>
      </w:pPr>
      <w:r>
        <w:rPr>
          <w:rFonts w:ascii="Times New Roman" w:hAnsi="Times New Roman" w:eastAsia="Times New Roman"/>
          <w:b/>
          <w:sz w:val="24"/>
        </w:rPr>
        <w:t>Headline finding</w:t>
      </w:r>
    </w:p>
    <w:p>
      <w:pPr>
        <w:spacing w:line="276" w:lineRule="auto" w:after="120"/>
      </w:pPr>
      <w:r>
        <w:rPr>
          <w:rFonts w:ascii="Times New Roman" w:hAnsi="Times New Roman" w:eastAsia="Times New Roman"/>
          <w:sz w:val="24"/>
        </w:rPr>
        <w:t>Using N = 354 individual-level Japanese workplace harassment data, partitioned into 14 cells (7 HEXACO clusters × 2 genders) and re-weighted with Statistics Bureau (Ministry of Internal Affairs and Communications) Labour Force Survey 2022 marginals, we tested three pre-registered counterfactual interventions: (A) +0.3 SD on Honesty-Humility, Agreeableness, and Emotionality for all individuals; (B) +0.40 SD on Honesty-Humility restricted to individuals in three low-prevalence HEXACO typologies; and (C) a 20% cell-level propensity reduction, calibrated against three meta-analyses of organizational anti-harassment interventions and the MHLW FY2016–FY2023 −13.2-percentage-point decline.</w:t>
      </w:r>
    </w:p>
    <w:p>
      <w:pPr>
        <w:spacing w:line="276" w:lineRule="auto" w:after="120"/>
      </w:pPr>
      <w:r>
        <w:rPr>
          <w:rFonts w:ascii="Times New Roman" w:hAnsi="Times New Roman" w:eastAsia="Times New Roman"/>
          <w:sz w:val="24"/>
        </w:rPr>
        <w:t>The pre-registered intersection-union test (Berger &amp; Hsu, 1996) classifies the configuration as REVERSAL: the personality-intervention contrasts are statistically null (ΔP_A = −0.0061, 95% CI [−0.0207, +0.0062]; ΔP_B = −0.0059, 95% CI [−0.0207, +0.0066]), whereas the structural-intervention contrast is positive (ΔP_C = +0.0349, 95% CI [+0.0264, +0.0435]). In absolute magnitude the structural-pathway contrast is approximately five-fold larger than the personality-pathway contrast (|ΔP_C|/|ΔP_A| ≈ 5.7). The classification is robust across four pre-registered cultural-attenuation factors and across nine pre-registered analytic choices. We interpret these contrasts conditional on the prior meta-analytic and natural-experiment effect sizes used to calibrate each counterfactual.</w:t>
      </w:r>
    </w:p>
    <w:p>
      <w:pPr>
        <w:spacing w:line="276" w:lineRule="auto" w:after="120"/>
      </w:pPr>
      <w:r>
        <w:rPr>
          <w:rFonts w:ascii="Times New Roman" w:hAnsi="Times New Roman" w:eastAsia="Times New Roman"/>
          <w:b/>
          <w:sz w:val="24"/>
        </w:rPr>
        <w:t>Why Journal of Occupational Health Psychology</w:t>
      </w:r>
    </w:p>
    <w:p>
      <w:pPr>
        <w:spacing w:line="276" w:lineRule="auto" w:after="120"/>
      </w:pPr>
      <w:r>
        <w:rPr>
          <w:rFonts w:ascii="Times New Roman" w:hAnsi="Times New Roman" w:eastAsia="Times New Roman"/>
          <w:sz w:val="24"/>
        </w:rPr>
        <w:t>JOHP's I-O psychology and occupational-health readership is the primary audience this work targets:</w:t>
      </w:r>
    </w:p>
    <w:p>
      <w:pPr>
        <w:spacing w:line="276" w:lineRule="auto" w:after="60"/>
        <w:ind w:left="360"/>
      </w:pPr>
      <w:r>
        <w:rPr>
          <w:rFonts w:ascii="Times New Roman" w:hAnsi="Times New Roman" w:eastAsia="Times New Roman"/>
          <w:sz w:val="24"/>
        </w:rPr>
        <w:t>• Workplace-harassment substantive scope. The manuscript addresses past-three-year power-harassment victimization in Japan, where MHLW survey rates declined from 32.5% (FY2016) to 19.3% (FY2023) over the enforcement period of the 2020 Power Harassment Prevention Law. JOHP's coverage of workplace stressors, harassment, and organizational interventions is the natural fit.</w:t>
      </w:r>
    </w:p>
    <w:p>
      <w:pPr>
        <w:spacing w:line="276" w:lineRule="auto" w:after="60"/>
        <w:ind w:left="360"/>
      </w:pPr>
      <w:r>
        <w:rPr>
          <w:rFonts w:ascii="Times New Roman" w:hAnsi="Times New Roman" w:eastAsia="Times New Roman"/>
          <w:sz w:val="24"/>
        </w:rPr>
        <w:t>• Workplace-bullying intervention literature. Counterfactual C's calibration draws on three meta-analyses central to JOHP's reader base — Hodgins, MacCurtain, &amp; Mannix-McNamara (2014) systematic review; Escartín (2016) on psychosocial drivers and effective interventions; and Salin (2021) on workplace bullying and gender. The present analysis adds a common-metric comparison between personality-pathway and structural-pathway intervention contrasts that has not, to our knowledge, been quantitatively reported in this literature.</w:t>
      </w:r>
    </w:p>
    <w:p>
      <w:pPr>
        <w:spacing w:line="276" w:lineRule="auto" w:after="60"/>
        <w:ind w:left="360"/>
      </w:pPr>
      <w:r>
        <w:rPr>
          <w:rFonts w:ascii="Times New Roman" w:hAnsi="Times New Roman" w:eastAsia="Times New Roman"/>
          <w:sz w:val="24"/>
        </w:rPr>
        <w:t>• Theoretical contribution to person–environment debate. Our findings are consistent with treating HEXACO 7-typology as a stratification variable identifying differentially exposed subpopulations rather than as a target for individual-level personality modification. This contributes to ongoing JOHP-adjacent discussion about the conditions under which trait-based prediction translates into trait-based intervention.</w:t>
      </w:r>
    </w:p>
    <w:p>
      <w:pPr>
        <w:spacing w:line="276" w:lineRule="auto" w:after="120"/>
      </w:pPr>
      <w:r>
        <w:rPr>
          <w:rFonts w:ascii="Times New Roman" w:hAnsi="Times New Roman" w:eastAsia="Times New Roman"/>
          <w:b/>
          <w:sz w:val="24"/>
        </w:rPr>
        <w:t>Substantive contribution</w:t>
      </w:r>
    </w:p>
    <w:p>
      <w:pPr>
        <w:spacing w:line="276" w:lineRule="auto" w:after="120"/>
      </w:pPr>
      <w:r>
        <w:rPr>
          <w:rFonts w:ascii="Times New Roman" w:hAnsi="Times New Roman" w:eastAsia="Times New Roman"/>
          <w:sz w:val="24"/>
        </w:rPr>
        <w:t>Four contributions distinguish this work:</w:t>
      </w:r>
    </w:p>
    <w:p>
      <w:pPr>
        <w:spacing w:line="276" w:lineRule="auto" w:after="60"/>
        <w:ind w:left="360"/>
      </w:pPr>
      <w:r>
        <w:rPr>
          <w:rFonts w:ascii="Times New Roman" w:hAnsi="Times New Roman" w:eastAsia="Times New Roman"/>
          <w:sz w:val="24"/>
        </w:rPr>
        <w:t>• Methodological. An end-to-end pre-registered counterfactual microsimulation pipeline applicable to workplace-harassment research, with full reproducibility (HDF5 artifacts, fixed random seed, Docker container, MIT-licensed code) and tiered open data.</w:t>
      </w:r>
    </w:p>
    <w:p>
      <w:pPr>
        <w:spacing w:line="276" w:lineRule="auto" w:after="60"/>
        <w:ind w:left="360"/>
      </w:pPr>
      <w:r>
        <w:rPr>
          <w:rFonts w:ascii="Times New Roman" w:hAnsi="Times New Roman" w:eastAsia="Times New Roman"/>
          <w:sz w:val="24"/>
        </w:rPr>
        <w:t>• Empirical. A quantitative apples-to-apples comparison of person-level and system-level intervention contrasts on Japanese workplace-harassment prevalence, with each counterfactual calibrated to effect sizes drawn from prior meta-analyses.</w:t>
      </w:r>
    </w:p>
    <w:p>
      <w:pPr>
        <w:spacing w:line="276" w:lineRule="auto" w:after="60"/>
        <w:ind w:left="360"/>
      </w:pPr>
      <w:r>
        <w:rPr>
          <w:rFonts w:ascii="Times New Roman" w:hAnsi="Times New Roman" w:eastAsia="Times New Roman"/>
          <w:sz w:val="24"/>
        </w:rPr>
        <w:t>• Theoretical. A test of the implication of treating HEXACO 7-typology as an intervention target versus as a stratification lens, with the data consistent with the latter reading.</w:t>
      </w:r>
    </w:p>
    <w:p>
      <w:pPr>
        <w:spacing w:line="276" w:lineRule="auto" w:after="60"/>
        <w:ind w:left="360"/>
      </w:pPr>
      <w:r>
        <w:rPr>
          <w:rFonts w:ascii="Times New Roman" w:hAnsi="Times New Roman" w:eastAsia="Times New Roman"/>
          <w:sz w:val="24"/>
        </w:rPr>
        <w:t>• Substantive. A documented quantitative ordering — the absolute magnitude of the structural-intervention contrast is approximately five-fold larger than that of the personality-intervention contrast — under realistic prior calibrations of each, robust across nine pre-registered analytic axes and four cultural-attenuation factors.</w:t>
      </w:r>
    </w:p>
    <w:p>
      <w:pPr>
        <w:spacing w:line="276" w:lineRule="auto" w:after="120"/>
      </w:pPr>
      <w:r>
        <w:rPr>
          <w:rFonts w:ascii="Times New Roman" w:hAnsi="Times New Roman" w:eastAsia="Times New Roman"/>
          <w:sz w:val="24"/>
        </w:rPr>
        <w:t>The MHLW FY2016 → FY2023 −13.2-percentage-point decline that overlaps with the staged enforcement of the 2020 Power Harassment Prevention Law is treated in the manuscript as substantive context rather than as a formal causal estimand of the law's effect; the present cross-sectional design does not support a formal causal inference about the law itself.</w:t>
      </w:r>
    </w:p>
    <w:p>
      <w:pPr>
        <w:spacing w:line="276" w:lineRule="auto" w:after="120"/>
      </w:pPr>
      <w:r>
        <w:rPr>
          <w:rFonts w:ascii="Times New Roman" w:hAnsi="Times New Roman" w:eastAsia="Times New Roman"/>
          <w:b/>
          <w:sz w:val="24"/>
        </w:rPr>
        <w:t>Compliance with pre-registration and reproducibility criteria</w:t>
      </w:r>
    </w:p>
    <w:p>
      <w:pPr>
        <w:spacing w:line="276" w:lineRule="auto" w:after="60"/>
        <w:ind w:left="360"/>
      </w:pPr>
      <w:r>
        <w:rPr>
          <w:rFonts w:ascii="Times New Roman" w:hAnsi="Times New Roman" w:eastAsia="Times New Roman"/>
          <w:sz w:val="24"/>
        </w:rPr>
        <w:t>• Pre-registration adherence. All deviations from the v2.0 master are documented in the Methods Clarifications Log (locked alongside the v2.0 registration) and disclosed in the Methods (Pre-registered analytic pipeline) section of the manuscript. No undocumented deviations occurred.</w:t>
      </w:r>
    </w:p>
    <w:p>
      <w:pPr>
        <w:spacing w:line="276" w:lineRule="auto" w:after="60"/>
        <w:ind w:left="360"/>
      </w:pPr>
      <w:r>
        <w:rPr>
          <w:rFonts w:ascii="Times New Roman" w:hAnsi="Times New Roman" w:eastAsia="Times New Roman"/>
          <w:sz w:val="24"/>
        </w:rPr>
        <w:t>• Hypotheses tested. All seven pre-registered hypotheses (H1–H7) are evaluated; outcomes are reported per pre-registered classification rules in Table 6.</w:t>
      </w:r>
    </w:p>
    <w:p>
      <w:pPr>
        <w:spacing w:line="276" w:lineRule="auto" w:after="60"/>
        <w:ind w:left="360"/>
      </w:pPr>
      <w:r>
        <w:rPr>
          <w:rFonts w:ascii="Times New Roman" w:hAnsi="Times New Roman" w:eastAsia="Times New Roman"/>
          <w:sz w:val="24"/>
        </w:rPr>
        <w:t>• Reproducibility. All code is publicly archived under MIT license at https://github.com/etoki/paper (directory: simulation/); intermediate HDF5 artifacts at OSF; SHA-256 hash-verified reproduction via make reproduce.</w:t>
      </w:r>
    </w:p>
    <w:p>
      <w:pPr>
        <w:spacing w:line="276" w:lineRule="auto" w:after="60"/>
        <w:ind w:left="360"/>
      </w:pPr>
      <w:r>
        <w:rPr>
          <w:rFonts w:ascii="Times New Roman" w:hAnsi="Times New Roman" w:eastAsia="Times New Roman"/>
          <w:sz w:val="24"/>
        </w:rPr>
        <w:t>• Data availability. Public-tier supplementary artifacts (Stage 0–8 HDF5, Figures 1–6 in PNG/PDF/SVG, canonical numerical record, SHA-256 reference hashes) are openly available at the v2.0 OSF working project (osf.io/3hxz6). The N = 354 individual-level dataset is governed by the IRB-approved data-sharing protocol and hosted in a Private OSF component with a documented Request-Access mechanism; the parent project's public Wiki (osf.io/3hxz6/wiki/home/) lists the access criteria, IRB requirements, and four data-use terms. Statistics Bureau / MIC Labour Force Survey 2022 population-reweighting data are publicly archived in the GitHub repository.</w:t>
      </w:r>
    </w:p>
    <w:p>
      <w:pPr>
        <w:spacing w:line="276" w:lineRule="auto" w:after="120"/>
      </w:pPr>
      <w:r>
        <w:rPr>
          <w:rFonts w:ascii="Times New Roman" w:hAnsi="Times New Roman" w:eastAsia="Times New Roman"/>
          <w:b/>
          <w:sz w:val="24"/>
        </w:rPr>
        <w:t>Limitations openly disclosed</w:t>
      </w:r>
    </w:p>
    <w:p>
      <w:pPr>
        <w:spacing w:line="276" w:lineRule="auto" w:after="120"/>
      </w:pPr>
      <w:r>
        <w:rPr>
          <w:rFonts w:ascii="Times New Roman" w:hAnsi="Times New Roman" w:eastAsia="Times New Roman"/>
          <w:sz w:val="24"/>
        </w:rPr>
        <w:t>The Discussion (Limitations subsection) discloses six limitations explicitly:</w:t>
      </w:r>
    </w:p>
    <w:p>
      <w:pPr>
        <w:spacing w:line="276" w:lineRule="auto" w:after="60"/>
        <w:ind w:left="360"/>
      </w:pPr>
      <w:r>
        <w:rPr>
          <w:rFonts w:ascii="Times New Roman" w:hAnsi="Times New Roman" w:eastAsia="Times New Roman"/>
          <w:sz w:val="24"/>
        </w:rPr>
        <w:t>• Reduced-form framing of Counterfactual C (population-level statistical translation of structural change; mechanistic deterrence dynamics not endogenously modeled);</w:t>
      </w:r>
    </w:p>
    <w:p>
      <w:pPr>
        <w:spacing w:line="276" w:lineRule="auto" w:after="60"/>
        <w:ind w:left="360"/>
      </w:pPr>
      <w:r>
        <w:rPr>
          <w:rFonts w:ascii="Times New Roman" w:hAnsi="Times New Roman" w:eastAsia="Times New Roman"/>
          <w:sz w:val="24"/>
        </w:rPr>
        <w:t>• Causal under-identification (selection, confounding, and reverse causation cannot be distinguished from M1 direct causation; the data are inconsistent with M1 as the dominant mechanism but cannot adjudicate among M2–M4);</w:t>
      </w:r>
    </w:p>
    <w:p>
      <w:pPr>
        <w:spacing w:line="276" w:lineRule="auto" w:after="60"/>
        <w:ind w:left="360"/>
      </w:pPr>
      <w:r>
        <w:rPr>
          <w:rFonts w:ascii="Times New Roman" w:hAnsi="Times New Roman" w:eastAsia="Times New Roman"/>
          <w:sz w:val="24"/>
        </w:rPr>
        <w:t>• Heterogeneity in counterfactual response (uniform −20% across cells; cell-specific response not estimated);</w:t>
      </w:r>
    </w:p>
    <w:p>
      <w:pPr>
        <w:spacing w:line="276" w:lineRule="auto" w:after="60"/>
        <w:ind w:left="360"/>
      </w:pPr>
      <w:r>
        <w:rPr>
          <w:rFonts w:ascii="Times New Roman" w:hAnsi="Times New Roman" w:eastAsia="Times New Roman"/>
          <w:sz w:val="24"/>
        </w:rPr>
        <w:t>• Static framing (no temporal dynamics);</w:t>
      </w:r>
    </w:p>
    <w:p>
      <w:pPr>
        <w:spacing w:line="276" w:lineRule="auto" w:after="60"/>
        <w:ind w:left="360"/>
      </w:pPr>
      <w:r>
        <w:rPr>
          <w:rFonts w:ascii="Times New Roman" w:hAnsi="Times New Roman" w:eastAsia="Times New Roman"/>
          <w:sz w:val="24"/>
        </w:rPr>
        <w:t>• Cluster-proportion limitation (cluster proportions remain fixed at the Tokiwa (2026) values for N = 13,668 because the Labour Force Survey does not capture HEXACO cluster membership);</w:t>
      </w:r>
    </w:p>
    <w:p>
      <w:pPr>
        <w:spacing w:line="276" w:lineRule="auto" w:after="60"/>
        <w:ind w:left="360"/>
      </w:pPr>
      <w:r>
        <w:rPr>
          <w:rFonts w:ascii="Times New Roman" w:hAnsi="Times New Roman" w:eastAsia="Times New Roman"/>
          <w:sz w:val="24"/>
        </w:rPr>
        <w:t>• Sample size (N = 354; cell-level CIs adequate but not extensively replicated).</w:t>
      </w:r>
    </w:p>
    <w:p>
      <w:pPr>
        <w:spacing w:line="276" w:lineRule="auto" w:after="120"/>
      </w:pPr>
      <w:r>
        <w:rPr>
          <w:rFonts w:ascii="Times New Roman" w:hAnsi="Times New Roman" w:eastAsia="Times New Roman"/>
          <w:sz w:val="24"/>
        </w:rPr>
        <w:t>We position these limitations as future-work targets rather than threats to the present substantive conclusion, which depends only on the apples-to-apples comparison of pre-registered effect-size calibrations.</w:t>
      </w:r>
    </w:p>
    <w:p>
      <w:pPr>
        <w:spacing w:line="276" w:lineRule="auto" w:after="120"/>
      </w:pPr>
      <w:r>
        <w:rPr>
          <w:rFonts w:ascii="Times New Roman" w:hAnsi="Times New Roman" w:eastAsia="Times New Roman"/>
          <w:b/>
          <w:sz w:val="24"/>
        </w:rPr>
        <w:t>Author, funding, and competing-interests statement</w:t>
      </w:r>
    </w:p>
    <w:p>
      <w:pPr>
        <w:spacing w:line="276" w:lineRule="auto" w:after="120"/>
      </w:pPr>
      <w:r>
        <w:rPr>
          <w:rFonts w:ascii="Times New Roman" w:hAnsi="Times New Roman" w:eastAsia="Times New Roman"/>
          <w:sz w:val="24"/>
        </w:rPr>
        <w:t>This is a sole-authored submission. The author (Eisuke Tokiwa, ORCID 0009-0009-7124-6669) discloses the following potential competing interest: the author is the representative of SUNBLAZE Co., Ltd. (Tokyo, Japan), which provides HEXACO-JP, a proprietary Japanese-language HEXACO-based personality assessment service. The present study does not use HEXACO-JP; it uses the HEXACO-PI-R Japanese 60-item adaptation published by Wakabayashi (2014) as a separately validated, openly cited instrument. The manuscript does not reference, evaluate, market, recommend, or otherwise promote HEXACO-JP or any other SUNBLAZE product or service. The research received no SUNBLAZE funding, no external grant funding, and was conducted as an independent academic project. The headline empirical findings (null personality-intervention contrast, positive structural-intervention contrast, and the substantive ordering reported in the manuscript) do not differentially favor commercial HEXACO-based assessment products.</w:t>
      </w:r>
    </w:p>
    <w:p>
      <w:pPr>
        <w:spacing w:line="276" w:lineRule="auto" w:after="120"/>
      </w:pPr>
      <w:r>
        <w:rPr>
          <w:rFonts w:ascii="Times New Roman" w:hAnsi="Times New Roman" w:eastAsia="Times New Roman"/>
          <w:b/>
          <w:sz w:val="24"/>
        </w:rPr>
        <w:t>Suggested reviewers</w:t>
      </w:r>
    </w:p>
    <w:p>
      <w:pPr>
        <w:spacing w:line="276" w:lineRule="auto" w:after="120"/>
      </w:pPr>
      <w:r>
        <w:rPr>
          <w:rFonts w:ascii="Times New Roman" w:hAnsi="Times New Roman" w:eastAsia="Times New Roman"/>
          <w:sz w:val="24"/>
        </w:rPr>
        <w:t>Per Journal of Occupational Health Psychology guidelines, the following authors of works cited in the manuscript have publicly demonstrated expertise relevant to this submission and have no known conflict of interest with the author:</w:t>
      </w:r>
    </w:p>
    <w:p>
      <w:pPr>
        <w:spacing w:line="276" w:lineRule="auto" w:after="60"/>
        <w:ind w:left="360"/>
      </w:pPr>
      <w:r>
        <w:rPr>
          <w:rFonts w:ascii="Times New Roman" w:hAnsi="Times New Roman" w:eastAsia="Times New Roman"/>
          <w:sz w:val="24"/>
        </w:rPr>
        <w:t>• Denise Salin (Hanken School of Economics, Finland) — author of Salin (2003) on enabling/motivating/precipitating processes in workplace bullying and Salin (2021) on bullying and gender; central calibration source for Counterfactual C.</w:t>
      </w:r>
    </w:p>
    <w:p>
      <w:pPr>
        <w:spacing w:line="276" w:lineRule="auto" w:after="60"/>
        <w:ind w:left="360"/>
      </w:pPr>
      <w:r>
        <w:rPr>
          <w:rFonts w:ascii="Times New Roman" w:hAnsi="Times New Roman" w:eastAsia="Times New Roman"/>
          <w:sz w:val="24"/>
        </w:rPr>
        <w:t>• Jordi Escartín (University of Barcelona, Spain) — author of Escartín (2016) on psychosocial drivers and effective workplace-bullying interventions; second meta-analytic anchor for Counterfactual C.</w:t>
      </w:r>
    </w:p>
    <w:p>
      <w:pPr>
        <w:spacing w:line="276" w:lineRule="auto" w:after="60"/>
        <w:ind w:left="360"/>
      </w:pPr>
      <w:r>
        <w:rPr>
          <w:rFonts w:ascii="Times New Roman" w:hAnsi="Times New Roman" w:eastAsia="Times New Roman"/>
          <w:sz w:val="24"/>
        </w:rPr>
        <w:t>• Margaret Hodgins (University of Galway, Ireland) — first author of Hodgins, MacCurtain, &amp; Mannix-McNamara (2014) systematic review of workplace bullying and incivility interventions in the International Journal of Workplace Health Management; third anchor for Counterfactual C.</w:t>
      </w:r>
    </w:p>
    <w:p>
      <w:pPr>
        <w:spacing w:line="276" w:lineRule="auto" w:after="60"/>
        <w:ind w:left="360"/>
      </w:pPr>
      <w:r>
        <w:rPr>
          <w:rFonts w:ascii="Times New Roman" w:hAnsi="Times New Roman" w:eastAsia="Times New Roman"/>
          <w:sz w:val="24"/>
        </w:rPr>
        <w:t>• M. Sandy Hershcovis (University of Calgary, Canada) — first author of Hershcovis &amp; Barling (2010) meta-analytic review of workplace aggression outcomes; foundational citation for the public-health-cost framing.</w:t>
      </w:r>
    </w:p>
    <w:p>
      <w:pPr>
        <w:spacing w:line="276" w:lineRule="auto" w:after="60"/>
        <w:ind w:left="360"/>
      </w:pPr>
      <w:r>
        <w:rPr>
          <w:rFonts w:ascii="Times New Roman" w:hAnsi="Times New Roman" w:eastAsia="Times New Roman"/>
          <w:sz w:val="24"/>
        </w:rPr>
        <w:t>• Morten Birkeland Nielsen (National Institute of Occupational Health, Norway) — first author of Nielsen et al. (2017) meta-analysis on workplace harassment and the Five Factor Model; anchor for the F = 0.5 transportability factor.</w:t>
      </w:r>
    </w:p>
    <w:p>
      <w:pPr>
        <w:spacing w:line="276" w:lineRule="auto" w:after="120"/>
      </w:pPr>
      <w:r>
        <w:rPr>
          <w:rFonts w:ascii="Times New Roman" w:hAnsi="Times New Roman" w:eastAsia="Times New Roman"/>
          <w:sz w:val="24"/>
        </w:rPr>
        <w:t>We respectfully request that reviewers familiar with workplace-bullying intervention literature, pre-registered methodology, and Japanese occupational-health contexts be considered.</w:t>
      </w:r>
    </w:p>
    <w:p>
      <w:pPr>
        <w:spacing w:line="276" w:lineRule="auto" w:after="120"/>
      </w:pPr>
      <w:r>
        <w:rPr>
          <w:rFonts w:ascii="Times New Roman" w:hAnsi="Times New Roman" w:eastAsia="Times New Roman"/>
          <w:b/>
          <w:sz w:val="24"/>
        </w:rPr>
        <w:t>Closing</w:t>
      </w:r>
    </w:p>
    <w:p>
      <w:pPr>
        <w:spacing w:line="276" w:lineRule="auto" w:after="120"/>
      </w:pPr>
      <w:r>
        <w:rPr>
          <w:rFonts w:ascii="Times New Roman" w:hAnsi="Times New Roman" w:eastAsia="Times New Roman"/>
          <w:sz w:val="24"/>
        </w:rPr>
        <w:t>I confirm that this manuscript has not been previously published in any peer-reviewed venue and is not under consideration at any other journal. A non-peer-reviewed version has been posted as a preprint at SocArXiv (DOI 10.31235/osf.io/p2d8w_v1) per Journal of Occupational Health Psychology preprint policy. The submission is sole-authored. Code, data, and intermediate artifacts will remain publicly accessible at the indicated OSF DOI and GitHub repository for the duration of peer review and beyond.</w:t>
      </w:r>
    </w:p>
    <w:p>
      <w:pPr>
        <w:spacing w:line="276" w:lineRule="auto" w:after="120"/>
      </w:pPr>
      <w:r>
        <w:rPr>
          <w:rFonts w:ascii="Times New Roman" w:hAnsi="Times New Roman" w:eastAsia="Times New Roman"/>
          <w:sz w:val="24"/>
        </w:rPr>
        <w:t>I look forward to the editorial team's response and the peer-review process.</w:t>
      </w:r>
    </w:p>
    <w:p>
      <w:pPr>
        <w:spacing w:line="276" w:lineRule="auto" w:after="120"/>
      </w:pPr>
      <w:r>
        <w:rPr>
          <w:rFonts w:ascii="Times New Roman" w:hAnsi="Times New Roman" w:eastAsia="Times New Roman"/>
          <w:sz w:val="24"/>
        </w:rPr>
        <w:t>Sincerely,</w:t>
      </w:r>
    </w:p>
    <w:p>
      <w:pPr>
        <w:spacing w:line="276" w:lineRule="auto" w:after="120"/>
      </w:pPr>
      <w:r>
        <w:rPr>
          <w:rFonts w:ascii="Times New Roman" w:hAnsi="Times New Roman" w:eastAsia="Times New Roman"/>
          <w:sz w:val="24"/>
        </w:rPr>
        <w:t>Eisuke Tokiwa SUNBLAZE Co., Ltd. Tokyo, Japan Email: eisuke.tokiwa@sunblaze.jp ORCID: 0009-0009-7124-6669 GitHub: https://github.com/etoki/paper OSF: https://osf.io/3y54u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