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pPr>
      <w:r>
        <w:rPr>
          <w:rFonts w:ascii="Times New Roman" w:hAnsi="Times New Roman" w:eastAsia="Times New Roman"/>
          <w:sz w:val="24"/>
        </w:rPr>
        <w:t>[Date]</w:t>
      </w:r>
    </w:p>
    <w:p>
      <w:pPr>
        <w:spacing w:line="276" w:lineRule="auto" w:after="120"/>
      </w:pPr>
      <w:r>
        <w:rPr>
          <w:rFonts w:ascii="Times New Roman" w:hAnsi="Times New Roman" w:eastAsia="Times New Roman"/>
          <w:sz w:val="24"/>
        </w:rPr>
        <w:t>The Editors</w:t>
      </w:r>
    </w:p>
    <w:p>
      <w:pPr>
        <w:spacing w:line="276" w:lineRule="auto" w:after="120"/>
      </w:pPr>
      <w:r>
        <w:rPr>
          <w:rFonts w:ascii="Times New Roman" w:hAnsi="Times New Roman" w:eastAsia="Times New Roman"/>
          <w:sz w:val="24"/>
        </w:rPr>
        <w:t>Royal Society Open Science</w:t>
      </w:r>
    </w:p>
    <w:p>
      <w:pPr>
        <w:spacing w:line="276" w:lineRule="auto" w:after="120"/>
      </w:pPr>
      <w:r>
        <w:rPr>
          <w:rFonts w:ascii="Times New Roman" w:hAnsi="Times New Roman" w:eastAsia="Times New Roman"/>
          <w:sz w:val="24"/>
        </w:rPr>
        <w:t>Dear Editors,</w:t>
      </w:r>
    </w:p>
    <w:p>
      <w:pPr>
        <w:spacing w:line="276" w:lineRule="auto" w:after="120"/>
      </w:pPr>
      <w:r>
        <w:rPr>
          <w:rFonts w:ascii="Times New Roman" w:hAnsi="Times New Roman" w:eastAsia="Times New Roman"/>
          <w:sz w:val="24"/>
        </w:rPr>
        <w:t>I am pleased to submit the enclosed manuscript, Person-Level versus System-Level Anti-Harassment Interventions: A HEXACO 7-Typology Counterfactual Microsimulation in Japanese Workplaces, for consideration as a Stage 2 Registered Report at Royal Society Open Science.</w:t>
      </w:r>
    </w:p>
    <w:p>
      <w:pPr>
        <w:spacing w:line="276" w:lineRule="auto" w:after="120"/>
      </w:pPr>
      <w:r>
        <w:rPr>
          <w:rFonts w:ascii="Times New Roman" w:hAnsi="Times New Roman" w:eastAsia="Times New Roman"/>
          <w:sz w:val="24"/>
        </w:rPr>
        <w:t>This submission implements, without deviation, the analysis pre-registered as v2.0 at the Open Science Framework (DOI 10.17605/OSF.IO/3Y54U; registered 2026-04-30). All seven primary hypotheses (H1–H7) are evaluated against pre-registered classification rules; all sensitivity sweeps and diagnostic procedures specified in the v2.0 master are executed and reported. The Methods Clarifications Log accompanying the v2.0 registration (Section 6.5 Level 1 deviation; SHA-256 fcaaf0d…) documents 16 minor specification clarifications resolved during the Stage 1 protocol-development phase.</w:t>
      </w:r>
    </w:p>
    <w:p>
      <w:pPr>
        <w:spacing w:line="276" w:lineRule="auto" w:after="120"/>
      </w:pPr>
      <w:r>
        <w:rPr>
          <w:rFonts w:ascii="Times New Roman" w:hAnsi="Times New Roman" w:eastAsia="Times New Roman"/>
          <w:b/>
          <w:sz w:val="24"/>
        </w:rPr>
        <w:t>Headline finding</w:t>
      </w:r>
    </w:p>
    <w:p>
      <w:pPr>
        <w:spacing w:line="276" w:lineRule="auto" w:after="120"/>
      </w:pPr>
      <w:r>
        <w:rPr>
          <w:rFonts w:ascii="Times New Roman" w:hAnsi="Times New Roman" w:eastAsia="Times New Roman"/>
          <w:sz w:val="24"/>
        </w:rPr>
        <w:t>Using N = 354 individual-level Japanese workplace harassment data, partitioned into 14 cells (7 HEXACO clusters × 2 genders) and re-weighted with Statistics Bureau (MIC) Labor Force Survey 2022 marginals, we tested three pre-registered counterfactual interventions: (A) personality intervention shifting Honesty-Humility, Agreeableness, and Emotionality by +0.3 SD; (B) targeted personality intervention applying +0.40 SD on Honesty-Humility to individuals already in the low-prevalence HEXACO Cluster {0, 4, 6} subgroup; and (C) structural intervention reducing cell-level propensity by 20%, calibrated against three meta-analyses and the MHLW FY2016–FY2023 natural experiment spanning the staged enforcement of the 2020 Power Harassment Prevention Law.</w:t>
      </w:r>
    </w:p>
    <w:p>
      <w:pPr>
        <w:spacing w:line="276" w:lineRule="auto" w:after="120"/>
      </w:pPr>
      <w:r>
        <w:rPr>
          <w:rFonts w:ascii="Times New Roman" w:hAnsi="Times New Roman" w:eastAsia="Times New Roman"/>
          <w:sz w:val="24"/>
        </w:rPr>
        <w:t>The pre-registered intersection-union test (Berger &amp; Hsu, 1996) classifies the configuration as REVERSAL: ΔP_A and ΔP_B are statistically null, whereas ΔP_C = +3.49 percentage points (95% CI [+2.64, +4.35] excluding zero). The classification is robust across all four pre-registered cultural attenuation factors (F = 0.3 to 1.0), including the conservative cross-cultural worst-case anchor. Numerically, the structural intervention's population-level effect is approximately 5.7× larger than the personality intervention's, given prior meta-analytic effect-size calibrations.</w:t>
      </w:r>
    </w:p>
    <w:p>
      <w:pPr>
        <w:spacing w:line="276" w:lineRule="auto" w:after="120"/>
      </w:pPr>
      <w:r>
        <w:rPr>
          <w:rFonts w:ascii="Times New Roman" w:hAnsi="Times New Roman" w:eastAsia="Times New Roman"/>
          <w:b/>
          <w:sz w:val="24"/>
        </w:rPr>
        <w:t>Why Royal Society Open Science</w:t>
      </w:r>
    </w:p>
    <w:p>
      <w:pPr>
        <w:spacing w:line="276" w:lineRule="auto" w:after="120"/>
      </w:pPr>
      <w:r>
        <w:rPr>
          <w:rFonts w:ascii="Times New Roman" w:hAnsi="Times New Roman" w:eastAsia="Times New Roman"/>
          <w:sz w:val="24"/>
        </w:rPr>
        <w:t>RSOS is uniquely well-positioned to evaluate this submission for three reasons:</w:t>
      </w:r>
    </w:p>
    <w:p>
      <w:pPr>
        <w:spacing w:line="276" w:lineRule="auto" w:after="60"/>
        <w:ind w:left="360"/>
      </w:pPr>
      <w:r>
        <w:rPr>
          <w:rFonts w:ascii="Times New Roman" w:hAnsi="Times New Roman" w:eastAsia="Times New Roman"/>
          <w:sz w:val="24"/>
        </w:rPr>
        <w:t>• Methodological breadth across disciplines — the manuscript combines target-trial emulation (Hernán &amp; Robins, 2016, 2020), counterfactual microsimulation (Spielauer, 2011; Rutter et al., 2011), the Berger &amp; Hsu (1996) intersection-union test, BCa bootstrap (Efron, 1987), and HEXACO personality typology (Ashton &amp; Lee, 2007). RSOS regularly publishes cross-disciplinary methodological contributions of this scope.</w:t>
      </w:r>
    </w:p>
    <w:p>
      <w:pPr>
        <w:spacing w:line="276" w:lineRule="auto" w:after="60"/>
        <w:ind w:left="360"/>
      </w:pPr>
      <w:r>
        <w:rPr>
          <w:rFonts w:ascii="Times New Roman" w:hAnsi="Times New Roman" w:eastAsia="Times New Roman"/>
          <w:sz w:val="24"/>
        </w:rPr>
        <w:t>• Rigorous Stage 2 Registered Report tradition — RSOS's RR program, with its emphasis on Stage 1 protocol scrutiny followed by Stage 2 implementation fidelity audit, matches the layered pre-registration architecture (v1.1 → v2.0 master + Methods Clarifications Log v1.0) we have prepared.</w:t>
      </w:r>
    </w:p>
    <w:p>
      <w:pPr>
        <w:spacing w:line="276" w:lineRule="auto" w:after="60"/>
        <w:ind w:left="360"/>
      </w:pPr>
      <w:r>
        <w:rPr>
          <w:rFonts w:ascii="Times New Roman" w:hAnsi="Times New Roman" w:eastAsia="Times New Roman"/>
          <w:sz w:val="24"/>
        </w:rPr>
        <w:t>• High-visibility venue for counterintuitive structural-vs-individual findings — the headline conclusion (structural intervention dominates personality intervention by ~5.7× under realistic effect-size assumptions) is policy-relevant and benefits from RSOS's broad readership.</w:t>
      </w:r>
    </w:p>
    <w:p>
      <w:pPr>
        <w:spacing w:line="276" w:lineRule="auto" w:after="120"/>
      </w:pPr>
      <w:r>
        <w:rPr>
          <w:rFonts w:ascii="Times New Roman" w:hAnsi="Times New Roman" w:eastAsia="Times New Roman"/>
          <w:sz w:val="24"/>
        </w:rPr>
        <w:t>The strong "Don't Work" framing in the title is empirical: ΔP_A's 95% CI ([−0.0207, +0.0062]) crosses zero, so the personality intervention is statistically null. We acknowledge this framing's rhetorical force in the manuscript and explicitly hedge with the reduced-form caveat (see Limitations, item 1).</w:t>
      </w:r>
    </w:p>
    <w:p>
      <w:pPr>
        <w:spacing w:line="276" w:lineRule="auto" w:after="120"/>
      </w:pPr>
      <w:r>
        <w:rPr>
          <w:rFonts w:ascii="Times New Roman" w:hAnsi="Times New Roman" w:eastAsia="Times New Roman"/>
          <w:b/>
          <w:sz w:val="24"/>
        </w:rPr>
        <w:t>Substantive contribution</w:t>
      </w:r>
    </w:p>
    <w:p>
      <w:pPr>
        <w:spacing w:line="276" w:lineRule="auto" w:after="120"/>
      </w:pPr>
      <w:r>
        <w:rPr>
          <w:rFonts w:ascii="Times New Roman" w:hAnsi="Times New Roman" w:eastAsia="Times New Roman"/>
          <w:sz w:val="24"/>
        </w:rPr>
        <w:t>Three contributions distinguish this work:</w:t>
      </w:r>
    </w:p>
    <w:p>
      <w:pPr>
        <w:spacing w:line="276" w:lineRule="auto" w:after="60"/>
        <w:ind w:left="360"/>
      </w:pPr>
      <w:r>
        <w:rPr>
          <w:rFonts w:ascii="Times New Roman" w:hAnsi="Times New Roman" w:eastAsia="Times New Roman"/>
          <w:sz w:val="24"/>
        </w:rPr>
        <w:t>• Methodological: The first end-to-end pre-registered counterfactual microsimulation of Japanese workplace harassment, with full reproducibility (HDF5 artifacts, fixed seed = 20260429, Docker container, MIT-licensed code) and open data.</w:t>
      </w:r>
    </w:p>
    <w:p>
      <w:pPr>
        <w:spacing w:line="276" w:lineRule="auto" w:after="60"/>
        <w:ind w:left="360"/>
      </w:pPr>
      <w:r>
        <w:rPr>
          <w:rFonts w:ascii="Times New Roman" w:hAnsi="Times New Roman" w:eastAsia="Times New Roman"/>
          <w:sz w:val="24"/>
        </w:rPr>
        <w:t>• Empirical: The first quantitative apples-to-apples comparison of person-level and system-level intervention effects on a population-level harassment-prevalence metric, leveraging effect-size calibrations from prior meta-analyses.</w:t>
      </w:r>
    </w:p>
    <w:p>
      <w:pPr>
        <w:spacing w:line="276" w:lineRule="auto" w:after="60"/>
        <w:ind w:left="360"/>
      </w:pPr>
      <w:r>
        <w:rPr>
          <w:rFonts w:ascii="Times New Roman" w:hAnsi="Times New Roman" w:eastAsia="Times New Roman"/>
          <w:sz w:val="24"/>
        </w:rPr>
        <w:t>• Substantive reframing: We reposition HEXACO 7-typology as a stratification variable identifying differentially exposed populations rather than as an intervention target, and caution against reading observational HEXACO–harassment associations as endorsing person-focused remediation.</w:t>
      </w:r>
    </w:p>
    <w:p>
      <w:pPr>
        <w:spacing w:line="276" w:lineRule="auto" w:after="120"/>
      </w:pPr>
      <w:r>
        <w:rPr>
          <w:rFonts w:ascii="Times New Roman" w:hAnsi="Times New Roman" w:eastAsia="Times New Roman"/>
          <w:sz w:val="24"/>
        </w:rPr>
        <w:t>The MHLW FY2016 → FY2023 −13.2-percentage-point decline that overlaps with the staged enforcement of the 2020 Power Harassment Prevention Law is treated in the manuscript as substantive context rather than as a formal causal estimand of the law's effect; the present cross-sectional design does not support a formal causal inference about the law itself.</w:t>
      </w:r>
    </w:p>
    <w:p>
      <w:pPr>
        <w:spacing w:line="276" w:lineRule="auto" w:after="120"/>
      </w:pPr>
      <w:r>
        <w:rPr>
          <w:rFonts w:ascii="Times New Roman" w:hAnsi="Times New Roman" w:eastAsia="Times New Roman"/>
          <w:b/>
          <w:sz w:val="24"/>
        </w:rPr>
        <w:t>Compliance with Stage 2 RR review criteria</w:t>
      </w:r>
    </w:p>
    <w:p>
      <w:pPr>
        <w:spacing w:line="276" w:lineRule="auto" w:after="60"/>
        <w:ind w:left="360"/>
      </w:pPr>
      <w:r>
        <w:rPr>
          <w:rFonts w:ascii="Times New Roman" w:hAnsi="Times New Roman" w:eastAsia="Times New Roman"/>
          <w:sz w:val="24"/>
        </w:rPr>
        <w:t>• Pre-registration adherence: All deviations from the v2.0 master are documented in the Methods Clarifications Log (locked 2026-04-30 alongside the v2.0 registration) and disclosed in the Methods (Pre-registered analytic pipeline) section of the manuscript. No undocumented deviations occurred.</w:t>
      </w:r>
    </w:p>
    <w:p>
      <w:pPr>
        <w:spacing w:line="276" w:lineRule="auto" w:after="60"/>
        <w:ind w:left="360"/>
      </w:pPr>
      <w:r>
        <w:rPr>
          <w:rFonts w:ascii="Times New Roman" w:hAnsi="Times New Roman" w:eastAsia="Times New Roman"/>
          <w:sz w:val="24"/>
        </w:rPr>
        <w:t>• Hypotheses tested: All seven pre-registered hypotheses (H1–H7) are evaluated; outcomes are reported per pre-registered classification rules in Table 6.</w:t>
      </w:r>
    </w:p>
    <w:p>
      <w:pPr>
        <w:spacing w:line="276" w:lineRule="auto" w:after="60"/>
        <w:ind w:left="360"/>
      </w:pPr>
      <w:r>
        <w:rPr>
          <w:rFonts w:ascii="Times New Roman" w:hAnsi="Times New Roman" w:eastAsia="Times New Roman"/>
          <w:sz w:val="24"/>
        </w:rPr>
        <w:t>• Reproducibility: All code is publicly archived under MIT license at https://github.com/etoki/paper (directory: simulation/); intermediate HDF5 artifacts at OSF; SHA-256 hash-verified reproduction via make reproduce.</w:t>
      </w:r>
    </w:p>
    <w:p>
      <w:pPr>
        <w:spacing w:line="276" w:lineRule="auto" w:after="60"/>
        <w:ind w:left="360"/>
      </w:pPr>
      <w:r>
        <w:rPr>
          <w:rFonts w:ascii="Times New Roman" w:hAnsi="Times New Roman" w:eastAsia="Times New Roman"/>
          <w:sz w:val="24"/>
        </w:rPr>
        <w:t>• Data availability: Public-tier supplementary artifacts (Stage 0–8 HDF5, Figures 1–6 in PNG/PDF/SVG, canonical numerical record, SHA-256 reference hashes) are openly available at the v2.0 OSF working project (osf.io/3hxz6, v2.0/v2.0_supplementary.tar.gz). The N = 354 individual-level dataset is governed by the IRB-approved data-sharing protocol and hosted in a Private OSF component with a documented Request-Access mechanism; the parent project's public Wiki (osf.io/3hxz6/wiki/home/) lists the access criteria, IRB requirements, and four data-use terms. Population reweighting data (Statistics Bureau / MIC Labor Force Survey 2022) are publicly archived in the GitHub repository.</w:t>
      </w:r>
    </w:p>
    <w:p>
      <w:pPr>
        <w:spacing w:line="276" w:lineRule="auto" w:after="120"/>
      </w:pPr>
      <w:r>
        <w:rPr>
          <w:rFonts w:ascii="Times New Roman" w:hAnsi="Times New Roman" w:eastAsia="Times New Roman"/>
          <w:b/>
          <w:sz w:val="24"/>
        </w:rPr>
        <w:t>Limitations openly disclosed</w:t>
      </w:r>
    </w:p>
    <w:p>
      <w:pPr>
        <w:spacing w:line="276" w:lineRule="auto" w:after="120"/>
      </w:pPr>
      <w:r>
        <w:rPr>
          <w:rFonts w:ascii="Times New Roman" w:hAnsi="Times New Roman" w:eastAsia="Times New Roman"/>
          <w:sz w:val="24"/>
        </w:rPr>
        <w:t>The Discussion (Limitations subsection) discloses six limitations explicitly:</w:t>
      </w:r>
    </w:p>
    <w:p>
      <w:pPr>
        <w:spacing w:line="276" w:lineRule="auto" w:after="60"/>
        <w:ind w:left="360"/>
      </w:pPr>
      <w:r>
        <w:rPr>
          <w:rFonts w:ascii="Times New Roman" w:hAnsi="Times New Roman" w:eastAsia="Times New Roman"/>
          <w:sz w:val="24"/>
        </w:rPr>
        <w:t>• Reduced-form framing of Counterfactual C (population-level statistical translation of structural change; mechanistic deterrence dynamics not endogenously modeled);</w:t>
      </w:r>
    </w:p>
    <w:p>
      <w:pPr>
        <w:spacing w:line="276" w:lineRule="auto" w:after="60"/>
        <w:ind w:left="360"/>
      </w:pPr>
      <w:r>
        <w:rPr>
          <w:rFonts w:ascii="Times New Roman" w:hAnsi="Times New Roman" w:eastAsia="Times New Roman"/>
          <w:sz w:val="24"/>
        </w:rPr>
        <w:t>• Causal under-identification (selection, confounding, and reverse causation cannot be distinguished from M1 direct causation, only the latter rejected);</w:t>
      </w:r>
    </w:p>
    <w:p>
      <w:pPr>
        <w:spacing w:line="276" w:lineRule="auto" w:after="60"/>
        <w:ind w:left="360"/>
      </w:pPr>
      <w:r>
        <w:rPr>
          <w:rFonts w:ascii="Times New Roman" w:hAnsi="Times New Roman" w:eastAsia="Times New Roman"/>
          <w:sz w:val="24"/>
        </w:rPr>
        <w:t>• Heterogeneity in counterfactual response (uniform −20% across cells; cell-specific response not estimated);</w:t>
      </w:r>
    </w:p>
    <w:p>
      <w:pPr>
        <w:spacing w:line="276" w:lineRule="auto" w:after="60"/>
        <w:ind w:left="360"/>
      </w:pPr>
      <w:r>
        <w:rPr>
          <w:rFonts w:ascii="Times New Roman" w:hAnsi="Times New Roman" w:eastAsia="Times New Roman"/>
          <w:sz w:val="24"/>
        </w:rPr>
        <w:t>• Static framing (no temporal dynamics);</w:t>
      </w:r>
    </w:p>
    <w:p>
      <w:pPr>
        <w:spacing w:line="276" w:lineRule="auto" w:after="60"/>
        <w:ind w:left="360"/>
      </w:pPr>
      <w:r>
        <w:rPr>
          <w:rFonts w:ascii="Times New Roman" w:hAnsi="Times New Roman" w:eastAsia="Times New Roman"/>
          <w:sz w:val="24"/>
        </w:rPr>
        <w:t>• Cluster-proportion limitation (cluster proportions remain fixed at the Tokiwa (2026) values for N = 13,668 because the Labour Force Survey does not capture HEXACO cluster membership);</w:t>
      </w:r>
    </w:p>
    <w:p>
      <w:pPr>
        <w:spacing w:line="276" w:lineRule="auto" w:after="60"/>
        <w:ind w:left="360"/>
      </w:pPr>
      <w:r>
        <w:rPr>
          <w:rFonts w:ascii="Times New Roman" w:hAnsi="Times New Roman" w:eastAsia="Times New Roman"/>
          <w:sz w:val="24"/>
        </w:rPr>
        <w:t>• Sample size (N = 354; cell-level CIs adequate but not extensively replicated).</w:t>
      </w:r>
    </w:p>
    <w:p>
      <w:pPr>
        <w:spacing w:line="276" w:lineRule="auto" w:after="120"/>
      </w:pPr>
      <w:r>
        <w:rPr>
          <w:rFonts w:ascii="Times New Roman" w:hAnsi="Times New Roman" w:eastAsia="Times New Roman"/>
          <w:sz w:val="24"/>
        </w:rPr>
        <w:t>We position these limitations as future-work targets rather than threats to the Stage 2 conclusion, which depends only on the apples-to-apples comparison of pre-registered effect-size calibrations.</w:t>
      </w:r>
    </w:p>
    <w:p>
      <w:pPr>
        <w:spacing w:line="276" w:lineRule="auto" w:after="120"/>
      </w:pPr>
      <w:r>
        <w:rPr>
          <w:rFonts w:ascii="Times New Roman" w:hAnsi="Times New Roman" w:eastAsia="Times New Roman"/>
          <w:b/>
          <w:sz w:val="24"/>
        </w:rPr>
        <w:t>Author, funding, and competing-interests statement</w:t>
      </w:r>
    </w:p>
    <w:p>
      <w:pPr>
        <w:spacing w:line="276" w:lineRule="auto" w:after="120"/>
      </w:pPr>
      <w:r>
        <w:rPr>
          <w:rFonts w:ascii="Times New Roman" w:hAnsi="Times New Roman" w:eastAsia="Times New Roman"/>
          <w:sz w:val="24"/>
        </w:rPr>
        <w:t>This is a sole-authored submission. The author (Eisuke Tokiwa, ORCID 0009-0009-7124-6669) discloses the following potential competing interest: the author is the representative of SUNBLAZE Co., Ltd. (Tokyo, Japan), which provides HEXACO-JP, a proprietary Japanese-language HEXACO-based personality assessment service. The present study does not use HEXACO-JP; it uses the HEXACO-PI-R Japanese 60-item adaptation published by Wakabayashi (2014) as a separately validated, openly cited instrument. The manuscript does not reference, evaluate, market, recommend, or otherwise promote HEXACO-JP or any other SUNBLAZE product or service. The research received no SUNBLAZE funding, no external grant funding, and was conducted as an independent academic project. The headline empirical findings (null personality-intervention contrast, positive structural-intervention contrast, and the reframing of HEXACO 7-typology as a stratification variable rather than an intervention or screening target) do not differentially favor commercial HEXACO-based assessment products.</w:t>
      </w:r>
    </w:p>
    <w:p>
      <w:pPr>
        <w:spacing w:line="276" w:lineRule="auto" w:after="120"/>
      </w:pPr>
      <w:r>
        <w:rPr>
          <w:rFonts w:ascii="Times New Roman" w:hAnsi="Times New Roman" w:eastAsia="Times New Roman"/>
          <w:b/>
          <w:sz w:val="24"/>
        </w:rPr>
        <w:t>Suggested reviewers</w:t>
      </w:r>
    </w:p>
    <w:p>
      <w:pPr>
        <w:spacing w:line="276" w:lineRule="auto" w:after="120"/>
      </w:pPr>
      <w:r>
        <w:rPr>
          <w:rFonts w:ascii="Times New Roman" w:hAnsi="Times New Roman" w:eastAsia="Times New Roman"/>
          <w:sz w:val="24"/>
        </w:rPr>
        <w:t>Per Royal Society Open Science guidelines, the following authors of methods or substantive works cited in the manuscript have publicly demonstrated expertise relevant to this manuscript and have no known conflict of interest with the author:</w:t>
      </w:r>
    </w:p>
    <w:p>
      <w:pPr>
        <w:spacing w:line="276" w:lineRule="auto" w:after="60"/>
        <w:ind w:left="360"/>
      </w:pPr>
      <w:r>
        <w:rPr>
          <w:rFonts w:ascii="Times New Roman" w:hAnsi="Times New Roman" w:eastAsia="Times New Roman"/>
          <w:sz w:val="24"/>
        </w:rPr>
        <w:t>• Miguel A. Hernán (Harvard T.H. Chan School of Public Health, USA) — co-author of Hernán &amp; Robins (2016, 2020) on target-trial emulation; the framework operationalized in our Stage 6 / Stage 7 counterfactuals.</w:t>
      </w:r>
    </w:p>
    <w:p>
      <w:pPr>
        <w:spacing w:line="276" w:lineRule="auto" w:after="60"/>
        <w:ind w:left="360"/>
      </w:pPr>
      <w:r>
        <w:rPr>
          <w:rFonts w:ascii="Times New Roman" w:hAnsi="Times New Roman" w:eastAsia="Times New Roman"/>
          <w:sz w:val="24"/>
        </w:rPr>
        <w:t>• James M. Robins (Harvard T.H. Chan School of Public Health, USA) — co-author of Hernán &amp; Robins (2016, 2020); foundational counterfactual-inference theorist whose do-operator semantics underpin all three counterfactuals.</w:t>
      </w:r>
    </w:p>
    <w:p>
      <w:pPr>
        <w:spacing w:line="276" w:lineRule="auto" w:after="60"/>
        <w:ind w:left="360"/>
      </w:pPr>
      <w:r>
        <w:rPr>
          <w:rFonts w:ascii="Times New Roman" w:hAnsi="Times New Roman" w:eastAsia="Times New Roman"/>
          <w:sz w:val="24"/>
        </w:rPr>
        <w:t>• M. Elizabeth Halloran (Fred Hutchinson Cancer Center, USA) — co-author of Hudgens &amp; Halloran (2008) on causal inference under interference, cited for our SUTVA discussion (m6 clarification).</w:t>
      </w:r>
    </w:p>
    <w:p>
      <w:pPr>
        <w:spacing w:line="276" w:lineRule="auto" w:after="60"/>
        <w:ind w:left="360"/>
      </w:pPr>
      <w:r>
        <w:rPr>
          <w:rFonts w:ascii="Times New Roman" w:hAnsi="Times New Roman" w:eastAsia="Times New Roman"/>
          <w:sz w:val="24"/>
        </w:rPr>
        <w:t>• Joon Sung Park (Stanford University, USA) — first author of Park et al. (2023) UIST on generative agents; relevant to our pre-flagged Phase 2 agent-based extension.</w:t>
      </w:r>
    </w:p>
    <w:p>
      <w:pPr>
        <w:spacing w:line="276" w:lineRule="auto" w:after="60"/>
        <w:ind w:left="360"/>
      </w:pPr>
      <w:r>
        <w:rPr>
          <w:rFonts w:ascii="Times New Roman" w:hAnsi="Times New Roman" w:eastAsia="Times New Roman"/>
          <w:sz w:val="24"/>
        </w:rPr>
        <w:t>• Morten Birkeland Nielsen (National Institute of Occupational Health, Norway) — first author of Nielsen et al. (2017) cross-cultural meta-analysis used as the F = 0.5 attenuation anchor.</w:t>
      </w:r>
    </w:p>
    <w:p>
      <w:pPr>
        <w:spacing w:line="276" w:lineRule="auto" w:after="120"/>
      </w:pPr>
      <w:r>
        <w:rPr>
          <w:rFonts w:ascii="Times New Roman" w:hAnsi="Times New Roman" w:eastAsia="Times New Roman"/>
          <w:sz w:val="24"/>
        </w:rPr>
        <w:t>We respectfully request that reviewers familiar with both target-trial emulation and the Stage 2 Registered Report process be considered.</w:t>
      </w:r>
    </w:p>
    <w:p>
      <w:pPr>
        <w:spacing w:line="276" w:lineRule="auto" w:after="120"/>
      </w:pPr>
      <w:r>
        <w:rPr>
          <w:rFonts w:ascii="Times New Roman" w:hAnsi="Times New Roman" w:eastAsia="Times New Roman"/>
          <w:b/>
          <w:sz w:val="24"/>
        </w:rPr>
        <w:t>Closing</w:t>
      </w:r>
    </w:p>
    <w:p>
      <w:pPr>
        <w:spacing w:line="276" w:lineRule="auto" w:after="120"/>
      </w:pPr>
      <w:r>
        <w:rPr>
          <w:rFonts w:ascii="Times New Roman" w:hAnsi="Times New Roman" w:eastAsia="Times New Roman"/>
          <w:sz w:val="24"/>
        </w:rPr>
        <w:t>I confirm that this manuscript has not been previously published in any peer-reviewed venue and is not under consideration at any other journal. A non-peer-reviewed version has been posted as a preprint at SocArXiv (DOI 10.31235/osf.io/p2d8w_v1) per Royal Society Open Science preprint policy. The submission is sole-authored. Code, data, and intermediate artifacts will remain publicly accessible at the indicated OSF DOI and GitHub repository for the duration of peer review and beyond.</w:t>
      </w:r>
    </w:p>
    <w:p>
      <w:pPr>
        <w:spacing w:line="276" w:lineRule="auto" w:after="120"/>
      </w:pPr>
      <w:r>
        <w:rPr>
          <w:rFonts w:ascii="Times New Roman" w:hAnsi="Times New Roman" w:eastAsia="Times New Roman"/>
          <w:sz w:val="24"/>
        </w:rPr>
        <w:t>I look forward to the editorial team's response and the peer-review process.</w:t>
      </w:r>
    </w:p>
    <w:p>
      <w:pPr>
        <w:spacing w:line="276" w:lineRule="auto" w:after="120"/>
      </w:pPr>
      <w:r>
        <w:rPr>
          <w:rFonts w:ascii="Times New Roman" w:hAnsi="Times New Roman" w:eastAsia="Times New Roman"/>
          <w:sz w:val="24"/>
        </w:rPr>
        <w:t>Sincerely,</w:t>
      </w:r>
    </w:p>
    <w:p>
      <w:pPr>
        <w:spacing w:line="276" w:lineRule="auto" w:after="120"/>
      </w:pPr>
      <w:r>
        <w:rPr>
          <w:rFonts w:ascii="Times New Roman" w:hAnsi="Times New Roman" w:eastAsia="Times New Roman"/>
          <w:sz w:val="24"/>
        </w:rPr>
        <w:t>Eisuke Tokiwa SUNBLAZE Co., Ltd. Tokyo, Japan Email: eisuke.tokiwa@sunblaze.jp ORCID: 0009-0009-7124-6669 GitHub: https://github.com/etoki/paper OSF: https://osf.io/3y54u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