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b/>
          <w:sz w:val="24"/>
        </w:rPr>
        <w:t>Scope statement (for SocArXiv moderators)</w:t>
      </w:r>
    </w:p>
    <w:p>
      <w:pPr>
        <w:spacing w:line="276" w:lineRule="auto" w:after="120"/>
      </w:pPr>
      <w:r>
        <w:rPr>
          <w:rFonts w:ascii="Times New Roman" w:hAnsi="Times New Roman" w:eastAsia="Times New Roman"/>
          <w:sz w:val="24"/>
        </w:rPr>
        <w:t>This is an academic, pre-registered counterfactual microsimulation study in occupational and personality psychology. The study tests three counterfactual interventions — a universal personality shift, a targeted personality shift on a low-prevalence subgroup, and a structural cell-level propensity reduction — operationalized through a microsimulation calibrated against three published meta-analyses of organizational anti-harassment interventions and against meta-analytic effect sizes from the personality-change literature.</w:t>
      </w:r>
    </w:p>
    <w:p>
      <w:pPr>
        <w:spacing w:line="276" w:lineRule="auto" w:after="120"/>
      </w:pPr>
      <w:r>
        <w:rPr>
          <w:rFonts w:ascii="Times New Roman" w:hAnsi="Times New Roman" w:eastAsia="Times New Roman"/>
          <w:sz w:val="24"/>
        </w:rPr>
        <w:t>Disclosure of a potential competing interest. The author is the representative of SUNBLAZE Co., Ltd. (Tokyo, Japan), which provides HEXACO-JP, a proprietary Japanese-language HEXACO-based personality assessment service. This affiliation is disclosed as a potential competing interest. Three qualifications apply:</w:t>
      </w:r>
    </w:p>
    <w:p>
      <w:pPr>
        <w:spacing w:line="276" w:lineRule="auto" w:after="60"/>
        <w:ind w:left="360"/>
      </w:pPr>
      <w:r>
        <w:rPr>
          <w:rFonts w:ascii="Times New Roman" w:hAnsi="Times New Roman" w:eastAsia="Times New Roman"/>
          <w:sz w:val="24"/>
        </w:rPr>
        <w:t>• The study does not use HEXACO-JP. The HEXACO instrument used in this analysis is the HEXACO-PI-R Japanese 60-item adaptation published by Wakabayashi (2014), a separately validated, openly cited instrument that predates and is independent of HEXACO-JP. The Wakabayashi (2014) instrument is referenced in the Methods (Data sources) section.</w:t>
      </w:r>
    </w:p>
    <w:p>
      <w:pPr>
        <w:spacing w:line="276" w:lineRule="auto" w:after="60"/>
        <w:ind w:left="360"/>
      </w:pPr>
      <w:r>
        <w:rPr>
          <w:rFonts w:ascii="Times New Roman" w:hAnsi="Times New Roman" w:eastAsia="Times New Roman"/>
          <w:sz w:val="24"/>
        </w:rPr>
        <w:t>• The manuscript does not reference, evaluate, market, recommend, or otherwise promote HEXACO-JP or any other SUNBLAZE product or service. No company product is named or evaluated in the body of the manuscript. SUNBLAZE Co., Ltd. did not commission, fund, sponsor, or direct the research; the work received no SUNBLAZE funding and no external grant funding.</w:t>
      </w:r>
    </w:p>
    <w:p>
      <w:pPr>
        <w:spacing w:line="276" w:lineRule="auto" w:after="60"/>
        <w:ind w:left="360"/>
      </w:pPr>
      <w:r>
        <w:rPr>
          <w:rFonts w:ascii="Times New Roman" w:hAnsi="Times New Roman" w:eastAsia="Times New Roman"/>
          <w:sz w:val="24"/>
        </w:rPr>
        <w:t>• The empirical findings do not differentially favor commercial HEXACO-based products. The headline result — a null personality-intervention contrast (Counterfactual A) combined with a positive structural-intervention contrast (Counterfactual C) — and the accompanying reframing of HEXACO 7-typology as a stratification variable rather than an intervention or screening target, are findings that, if anything, constrain rather than promote person-level commercial applications of HEXACO-based assessments.</w:t>
      </w:r>
    </w:p>
    <w:p>
      <w:pPr>
        <w:spacing w:line="276" w:lineRule="auto" w:after="120"/>
      </w:pPr>
      <w:r>
        <w:rPr>
          <w:rFonts w:ascii="Times New Roman" w:hAnsi="Times New Roman" w:eastAsia="Times New Roman"/>
          <w:sz w:val="24"/>
        </w:rPr>
        <w:t>The author conducted the research as an independent academic project. SUNBLAZE Co., Ltd. is also the postal correspondence address. No external grants supported the work.</w:t>
      </w:r>
    </w:p>
    <w:p>
      <w:pPr>
        <w:spacing w:line="276" w:lineRule="auto" w:after="120"/>
      </w:pPr>
      <w:r>
        <w:rPr>
          <w:rFonts w:ascii="Times New Roman" w:hAnsi="Times New Roman" w:eastAsia="Times New Roman"/>
          <w:b/>
          <w:sz w:val="24"/>
        </w:rPr>
        <w:t>Headline empirical content</w:t>
      </w:r>
    </w:p>
    <w:p>
      <w:pPr>
        <w:spacing w:line="276" w:lineRule="auto" w:after="120"/>
      </w:pPr>
      <w:r>
        <w:rPr>
          <w:rFonts w:ascii="Times New Roman" w:hAnsi="Times New Roman" w:eastAsia="Times New Roman"/>
          <w:sz w:val="24"/>
        </w:rPr>
        <w:t>Using N = 354 individual-level Japanese workplace observations partitioned into 14 cells (7 HEXACO clusters × 2 genders), and re-weighted with Statistics Bureau (MIC) Labor Force Survey 2022 marginals, the analysis tests three pre-registered counterfactuals: (A) +0.3 SD on Honesty-Humility, Agreeableness, and Emotionality (universal personality intervention); (B) +0.40 SD on Honesty-Humility restricted to individuals already in Cluster {0, 4, 6} (targeted personality intervention); (C) −20% cell-level propensity (structural intervention). The pre-registered intersection-union test (Berger &amp; Hsu, 1996) classifies the configuration as REVERSAL: the personality-pathway contrasts are statistically null, whereas the structural-pathway contrast is positive (ΔP_C = +3.49 percentage points; 95% CI [+2.64, +4.35]). The classification is robust across all four pre-registered cultural-attenuation factors (F = 0.3 to 1.0). The findings are interpreted conditional on the prior meta-analytic effect sizes used to calibrate each counterfactual.</w:t>
      </w:r>
    </w:p>
    <w:p>
      <w:pPr>
        <w:spacing w:line="276" w:lineRule="auto" w:after="120"/>
      </w:pPr>
      <w:r>
        <w:rPr>
          <w:rFonts w:ascii="Times New Roman" w:hAnsi="Times New Roman" w:eastAsia="Times New Roman"/>
          <w:b/>
          <w:sz w:val="24"/>
        </w:rPr>
        <w:t>Pre-registration adherence</w:t>
      </w:r>
    </w:p>
    <w:p>
      <w:pPr>
        <w:spacing w:line="276" w:lineRule="auto" w:after="120"/>
      </w:pPr>
      <w:r>
        <w:rPr>
          <w:rFonts w:ascii="Times New Roman" w:hAnsi="Times New Roman" w:eastAsia="Times New Roman"/>
          <w:sz w:val="24"/>
        </w:rPr>
        <w:t>All seven primary hypotheses (H1–H7) are evaluated against pre-registered classification rules; all sensitivity sweeps and diagnostic procedures specified in the v2.0 master are executed and reported. The Methods Clarifications Log accompanying the v2.0 registration documents 16 minor specification clarifications resolved during the Stage 1 protocol-development phase. No undocumented deviations occurred.</w:t>
      </w:r>
    </w:p>
    <w:p>
      <w:pPr>
        <w:spacing w:line="276" w:lineRule="auto" w:after="120"/>
      </w:pPr>
      <w:r>
        <w:rPr>
          <w:rFonts w:ascii="Times New Roman" w:hAnsi="Times New Roman" w:eastAsia="Times New Roman"/>
          <w:b/>
          <w:sz w:val="24"/>
        </w:rPr>
        <w:t>Why SocArXiv</w:t>
      </w:r>
    </w:p>
    <w:p>
      <w:pPr>
        <w:spacing w:line="276" w:lineRule="auto" w:after="120"/>
      </w:pPr>
      <w:r>
        <w:rPr>
          <w:rFonts w:ascii="Times New Roman" w:hAnsi="Times New Roman" w:eastAsia="Times New Roman"/>
          <w:sz w:val="24"/>
        </w:rPr>
        <w:t>SocArXiv hosts pre-registered social-science work and integrates with OSF, which already hosts the v2.0 pre-registration and supplementary artifacts for this study. The methodological contribution (counterfactual microsimulation as a comparison engine for two evidence bases that are otherwise non-comparable in scale) is positioned to engage social-science readerships in personality psychology, occupational health psychology, and policy-relevant counterfactual analysis.</w:t>
      </w:r>
    </w:p>
    <w:p>
      <w:pPr>
        <w:spacing w:line="276" w:lineRule="auto" w:after="120"/>
      </w:pPr>
      <w:r>
        <w:rPr>
          <w:rFonts w:ascii="Times New Roman" w:hAnsi="Times New Roman" w:eastAsia="Times New Roman"/>
          <w:b/>
          <w:sz w:val="24"/>
        </w:rPr>
        <w:t>Limitations openly disclosed</w:t>
      </w:r>
    </w:p>
    <w:p>
      <w:pPr>
        <w:spacing w:line="276" w:lineRule="auto" w:after="120"/>
      </w:pPr>
      <w:r>
        <w:rPr>
          <w:rFonts w:ascii="Times New Roman" w:hAnsi="Times New Roman" w:eastAsia="Times New Roman"/>
          <w:sz w:val="24"/>
        </w:rPr>
        <w:t>Six limitations are disclosed in the Discussion: (1) reduced-form framing of Counterfactual C (statistical translation rather than mechanistic deterrence model); (2) causal under-identification (selection, confounding, and reverse causation cannot be distinguished from direct causation, only the latter inconsistent with the data); (3) heterogeneity in counterfactual response (uniform −20% across cells; cell-specific response not estimated); (4) static framing (no temporal dynamics); (5) cluster-proportion limitation (cluster proportions remain fixed at the Tokiwa, 2026, values for N = 13,668 because the Labour Force Survey does not capture HEXACO cluster membership); (6) sample size (N = 354; cell-level CIs adequate but not extensively replicated).</w:t>
      </w:r>
    </w:p>
    <w:p>
      <w:pPr>
        <w:spacing w:line="276" w:lineRule="auto" w:after="120"/>
      </w:pPr>
      <w:r>
        <w:rPr>
          <w:rFonts w:ascii="Times New Roman" w:hAnsi="Times New Roman" w:eastAsia="Times New Roman"/>
          <w:sz w:val="24"/>
        </w:rPr>
        <w:t>---</w:t>
      </w:r>
    </w:p>
    <w:p>
      <w:pPr>
        <w:spacing w:line="276" w:lineRule="auto" w:after="120"/>
      </w:pPr>
      <w:r>
        <w:rPr>
          <w:rFonts w:ascii="Times New Roman" w:hAnsi="Times New Roman" w:eastAsia="Times New Roman"/>
          <w:sz w:val="24"/>
        </w:rPr>
        <w:t>Eisuke Tokiwa Independent researcher Correspondence: c/o SUNBLAZE Co., Ltd., Tokyo, Japan Email: eisuke.tokiwa@sunblaze.jp ORCID: 0009-0009-7124-6669 GitHub: https://github.com/etoki/paper OSF: https://osf.io/3y54u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