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[Author identifying information removed for double-anonymous peer review]</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Author identifying details — name, ORCID, affiliation, and correspondence information — have been removed for double-anonymous peer review and will be reinstated upon acceptance. The research received no external funding. Conflict-of-interest, pre-registration, and open-science deposit information are provided in the Declarations section using anonymised wording; identifying URLs (OSF, preprint, code repository) will be supplied to the editorial office post-acceptance.</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(the author's own prior primary study)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study is a systematic review and meta-analysis of previously published quantitative research and did not involve any direct collection of data from human participants by the present author. As no new primary data were collected, no Institutional Review Board (IRB) or Research Ethics Committee approval was required for the conduct of this synthesis. The conduct of this review followed the ethical principles outlined in the Declaration of Helsinki (as revised in 2013) and the PRISMA 2020 reporting guidelines for systematic reviews. Ethical approval for each of the included primary studies was the responsibility of the original investigators of those studies, as documented in their respective publications.</w:t>
      </w:r>
    </w:p>
    <w:p>
      <w:pPr>
        <w:spacing w:line="480" w:lineRule="auto" w:before="0" w:after="0"/>
      </w:pPr>
    </w:p>
    <w:p>
      <w:pPr>
        <w:spacing w:line="480" w:lineRule="auto" w:before="0" w:after="0"/>
      </w:pPr>
      <w:r>
        <w:rPr>
          <w:rFonts w:ascii="Times New Roman" w:hAnsi="Times New Roman" w:eastAsia="Times New Roman"/>
          <w:b/>
          <w:sz w:val="24"/>
        </w:rPr>
        <w:t>Consent to Participate</w:t>
      </w:r>
    </w:p>
    <w:p>
      <w:pPr>
        <w:spacing w:line="480" w:lineRule="auto" w:before="0" w:after="0"/>
      </w:pPr>
      <w:r>
        <w:rPr>
          <w:rFonts w:ascii="Times New Roman" w:hAnsi="Times New Roman" w:eastAsia="Times New Roman"/>
          <w:sz w:val="24"/>
        </w:rPr>
        <w:t>Not applicable. This systematic review and meta-analysis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 in accordance with the institutional and ethical standards applicable at that time.</w:t>
      </w:r>
    </w:p>
    <w:p>
      <w:pPr>
        <w:spacing w:line="480" w:lineRule="auto" w:before="0" w:after="0"/>
      </w:pPr>
    </w:p>
    <w:p>
      <w:pPr>
        <w:spacing w:line="480" w:lineRule="auto" w:before="0" w:after="0"/>
      </w:pPr>
      <w:r>
        <w:rPr>
          <w:rFonts w:ascii="Times New Roman" w:hAnsi="Times New Roman" w:eastAsia="Times New Roman"/>
          <w:b/>
          <w:sz w:val="24"/>
        </w:rPr>
        <w:t>Consent for Publication</w:t>
      </w:r>
    </w:p>
    <w:p>
      <w:pPr>
        <w:spacing w:line="480" w:lineRule="auto" w:before="0" w:after="0"/>
      </w:pPr>
      <w:r>
        <w:rPr>
          <w:rFonts w:ascii="Times New Roman" w:hAnsi="Times New Roman" w:eastAsia="Times New Roman"/>
          <w:sz w:val="24"/>
        </w:rPr>
        <w:t>Not applicable. This manuscript does not contain any individual person's data in any form (including individual details, images, or videos).</w:t>
      </w:r>
    </w:p>
    <w:p>
      <w:pPr>
        <w:spacing w:line="480" w:lineRule="auto" w:before="0" w:after="0"/>
      </w:pPr>
    </w:p>
    <w:p>
      <w:pPr>
        <w:spacing w:line="480" w:lineRule="auto" w:before="0" w:after="0"/>
      </w:pPr>
      <w:r>
        <w:rPr>
          <w:rFonts w:ascii="Times New Roman" w:hAnsi="Times New Roman" w:eastAsia="Times New Roman"/>
          <w:b/>
          <w:sz w:val="24"/>
        </w:rPr>
        <w:t>Human Ethics and Consent to Participate Declarations</w:t>
      </w:r>
    </w:p>
    <w:p>
      <w:pPr>
        <w:spacing w:line="480" w:lineRule="auto" w:before="0" w:after="0"/>
      </w:pPr>
      <w:r>
        <w:rPr>
          <w:rFonts w:ascii="Times New Roman" w:hAnsi="Times New Roman" w:eastAsia="Times New Roman"/>
          <w:sz w:val="24"/>
        </w:rPr>
        <w:t>Not applicable.</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([OSF preregistration link — provided post-acceptance]; DOI: [OSF preregistration DOI — provided post-acceptance]) on April 23, 2026, prior to formal data extraction and quantitative synthesis. The full protocol (PRISMA-P 2015 compliant) and supplementary materials are publicly available in the associated OSF project ([OSF project DOI — provided post-acceptance]).</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All materials underpinning this systematic review and meta-analysis have been made available to the editorial office and referees as anonymised supplementary files with this submission. Specifically: (a) the completed PRISMA 2020 27-item checklist with section-level locations (prisma_2020_checklist_anon.docx); (b) the full Boolean search strategy, database and source list, query-level hit counts, and the documented deviation from the pre-registered search plan (search_strategy_anon.docx); (c) the PRISMA 2020 flow diagram (reproduced as Figure 1 of the main manuscript); (d) the eligibility criteria, screening decisions, and full-text exclusion reasons (reported in the Methods and Results sections of the manuscript); (e) the data-extraction table (reproduced as Table 1 of the manuscript) listing every included study's country, modality, sample size, personality instrument, outcome operationalisation, era, region, JBI risk-of-bias score, and inclusion status; (f) the synthesis tables (Tables 2-5 of the manuscript: pooled effects, moderator analyses, sensitivity analyses, and adapted GRADE ratings); and (g) the anonymised Declaration of Interest (declaration_of_interest_anon.docx). Beyond the materials uploaded here, the full pre-registration record on a public open-science registry, the seven-component open-science project (protocol, search log, screening ledger, data-extraction CSV, JBI risk-of-bias spreadsheet, analysis code and outputs, and article-level DOI index), and the version-controlled code repository hosting the full Python analysis pipeline have all been permanently deposited under stable DOIs and are publicly accessible. Those DOIs are withheld at this stage solely because their URLs identify the author and will be supplied to the editorial office post-acceptance for inclusion in the final published version. Nothing has been redacted from these deposits; the only restriction is the temporary withholding of identifying URLs for double-anonymous review.</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(the author)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([Preprint DOI — provided post-acceptance]).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([OSF preregistration link — provided post-acceptance]),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([OSF preregistration link — provided post-acceptance]; DOI: [OSF preregistration DOI — provided post-acceptance])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(the author)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(the author);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(the author's own prior primary study)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[OSF preregistration DOI — provided post-acceptance])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[author's own study,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([OSF project DOI — provided post-acceptance]), specifically in the 06_analysis component ([OSF analysis DOI — provided post-acceptance]).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[author's own study, 2025]; the author's own study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[author's own study],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and Tsaknis's (2021) 30-item custom scale, Chinese-language Big Five scales of A-20 Mustafa et al. (2022) and A-26 Wang et al. (2023),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primary quantitative pool (the 4 post-COVID studies in the qualitative-synthesis retained set — A-13 Dang et al., 2025; A-17 Kara, 2024; A-25 [author's own study,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(the author's own prior primary study)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H4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primary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(the author),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(the author's own prior primary study) was included in the qualitative-synthesis retained set as a potentially eligible record. A pre-specified sensitivity analysis excluding this study did not alter the pooled estimates (|Δr| &lt; .001 for every trait) because the author's own prior primary study did not contribute extractable zero-order correlations to the primary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primarily by a single Chinese MOOC sample (Yu, 2021) with convergent narrative evidence from other East Asian and Israeli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Ashouri, A., Taheri, </w:t>
      </w:r>
      <w:r>
        <w:rPr>
          <w:rFonts w:ascii="Times New Roman" w:hAnsi="Times New Roman" w:eastAsia="Times New Roman"/>
          <w:i/>
          <w:sz w:val="24"/>
        </w:rPr>
        <w:t>M</w:t>
      </w:r>
      <w:r>
        <w:rPr>
          <w:rFonts w:ascii="Times New Roman" w:hAnsi="Times New Roman" w:eastAsia="Times New Roman"/>
          <w:sz w:val="24"/>
        </w:rPr>
        <w:t xml:space="preserve">., Rasouli, </w:t>
      </w:r>
      <w:r>
        <w:rPr>
          <w:rFonts w:ascii="Times New Roman" w:hAnsi="Times New Roman" w:eastAsia="Times New Roman"/>
          <w:i/>
          <w:sz w:val="24"/>
        </w:rPr>
        <w:t>M</w:t>
      </w:r>
      <w:r>
        <w:rPr>
          <w:rFonts w:ascii="Times New Roman" w:hAnsi="Times New Roman" w:eastAsia="Times New Roman"/>
          <w:sz w:val="24"/>
        </w:rPr>
        <w:t>., &amp; Rouhalamin, S. (2025). Personality traits and e-learning course satisfaction: A study of health science students. Cureus, 17(7), e89131.</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Bhagat, K. K., Wu, L. Y., &amp; Chang, C. Y. (2019). The impact of personality on students' perceptions towards online learning. </w:t>
      </w:r>
      <w:r>
        <w:rPr>
          <w:rFonts w:ascii="Times New Roman" w:hAnsi="Times New Roman" w:eastAsia="Times New Roman"/>
          <w:i/>
          <w:sz w:val="24"/>
        </w:rPr>
        <w:t>Australasian Journal of Educational Technology, 35</w:t>
      </w:r>
      <w:r>
        <w:rPr>
          <w:rFonts w:ascii="Times New Roman" w:hAnsi="Times New Roman" w:eastAsia="Times New Roman"/>
          <w:sz w:val="24"/>
        </w:rPr>
        <w:t>(4), 98–108. https://doi.org/10.14742/ajet.4162</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Dang, T., Du, W., Niu, </w:t>
      </w:r>
      <w:r>
        <w:rPr>
          <w:rFonts w:ascii="Times New Roman" w:hAnsi="Times New Roman" w:eastAsia="Times New Roman"/>
          <w:i/>
          <w:sz w:val="24"/>
        </w:rPr>
        <w:t>M</w:t>
      </w:r>
      <w:r>
        <w:rPr>
          <w:rFonts w:ascii="Times New Roman" w:hAnsi="Times New Roman" w:eastAsia="Times New Roman"/>
          <w:sz w:val="24"/>
        </w:rPr>
        <w:t>., &amp; Xu, Z. (2025). The effects of personality traits on learning engagement among college students: The mediating role of emotion regulation. Frontiers in Psychology, 15, 1476437. https://doi.org/10.3389/fpsyg.2024.1476437</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Kara, A., Ergulec, </w:t>
      </w:r>
      <w:r>
        <w:rPr>
          <w:rFonts w:ascii="Times New Roman" w:hAnsi="Times New Roman" w:eastAsia="Times New Roman"/>
          <w:i/>
          <w:sz w:val="24"/>
        </w:rPr>
        <w:t>F</w:t>
      </w:r>
      <w:r>
        <w:rPr>
          <w:rFonts w:ascii="Times New Roman" w:hAnsi="Times New Roman" w:eastAsia="Times New Roman"/>
          <w:sz w:val="24"/>
        </w:rPr>
        <w:t>., &amp; Eren, E. (2024). The mediating role of self-regulated online learning behaviors: Exploring the impact of personality traits on student engagement. Education and Information Technologies, 29, 23517–23546. https://doi.org/10.1007/s10639-024-12755-3</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Keller, H., &amp; Karau, S. J. (2013). The importance of personality in students' perceptions of the online learning experience. </w:t>
      </w:r>
      <w:r>
        <w:rPr>
          <w:rFonts w:ascii="Times New Roman" w:hAnsi="Times New Roman" w:eastAsia="Times New Roman"/>
          <w:i/>
          <w:sz w:val="24"/>
        </w:rPr>
        <w:t>Computers in Human Behavior, 29</w:t>
      </w:r>
      <w:r>
        <w:rPr>
          <w:rFonts w:ascii="Times New Roman" w:hAnsi="Times New Roman" w:eastAsia="Times New Roman"/>
          <w:sz w:val="24"/>
        </w:rPr>
        <w:t>(6), 2494–2500. https://doi.org/10.1016/j.chb.2013.06.007</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Nakayama, </w:t>
      </w:r>
      <w:r>
        <w:rPr>
          <w:rFonts w:ascii="Times New Roman" w:hAnsi="Times New Roman" w:eastAsia="Times New Roman"/>
          <w:i/>
          <w:sz w:val="24"/>
        </w:rPr>
        <w:t>M</w:t>
      </w:r>
      <w:r>
        <w:rPr>
          <w:rFonts w:ascii="Times New Roman" w:hAnsi="Times New Roman" w:eastAsia="Times New Roman"/>
          <w:sz w:val="24"/>
        </w:rPr>
        <w:t>., Mutsuura, K., &amp; Yamamoto, H. (2014). Impact of learner's characteristics and learning behaviour on learning performance during a fully online course. Electronic Journal of e-Learning, 12(4), 394–408.</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[Author's own primary study (2025) — full reference removed for double-anonymous review; details available to the editorial office on request.]</w:t>
      </w:r>
      <w:r>
        <w:rPr>
          <w:rFonts w:ascii="Times New Roman" w:hAnsi="Times New Roman" w:eastAsia="Times New Roman"/>
          <w:i/>
          <w:sz w:val="24"/>
        </w:rPr>
      </w:r>
      <w:r>
        <w:rPr>
          <w:rFonts w:ascii="Times New Roman" w:hAnsi="Times New Roman" w:eastAsia="Times New Roman"/>
          <w:sz w:val="24"/>
        </w:rPr>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Wu, R., &amp; Yu, Z. (2024). Relationship between university students' personalities and e-learning engagement mediated by achievement emotions and adaptability. </w:t>
      </w:r>
      <w:r>
        <w:rPr>
          <w:rFonts w:ascii="Times New Roman" w:hAnsi="Times New Roman" w:eastAsia="Times New Roman"/>
          <w:i/>
          <w:sz w:val="24"/>
        </w:rPr>
        <w:t>Education and Information Technologies, 29</w:t>
      </w:r>
      <w:r>
        <w:rPr>
          <w:rFonts w:ascii="Times New Roman" w:hAnsi="Times New Roman" w:eastAsia="Times New Roman"/>
          <w:sz w:val="24"/>
        </w:rPr>
        <w:t>, 10821–10850. https://doi.org/10.1007/s10639-023-12222-5</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the author's own prior primary study</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[author's own study]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[author's own study]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[author's own study]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[author's own study]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[author's own study]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Note. Δr = change in pooled correlation from the primary analysis. A double dagger (‡) denotes a sensitivity-analysis-induced shift exceeding |Δr| = .05, which is considered potentially influential per the pre-registered threshold. A single dagger (†) denotes a significant Egger test at p &lt; .05. "Exclude [author's own study] (COI)" removes the present author's prior primary study (the author's own prior primary study); the zero delta reflects that this study did not contribute a direct r to the primary pool. "Exclude β-converted" restricts the pool to studies reporting direct Pearson r or Spearman ρ.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primary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