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sz w:val="32"/>
        </w:rPr>
        <w:t>PRISMA 2020 Checklist</w:t>
      </w:r>
    </w:p>
    <w:p>
      <w:pPr>
        <w:spacing w:after="80"/>
        <w:jc w:val="center"/>
      </w:pPr>
      <w:r>
        <w:rPr>
          <w:rFonts w:ascii="Calibri" w:hAnsi="Calibri" w:eastAsia="Calibri"/>
          <w:b w:val="0"/>
          <w:sz w:val="22"/>
        </w:rPr>
        <w:t>Big Five Personality Traits and Academic Achievement in Online Learning Environments: A Systematic Review and Meta-Analysis</w:t>
      </w:r>
    </w:p>
    <w:p>
      <w:pPr>
        <w:spacing w:after="200"/>
        <w:jc w:val="center"/>
      </w:pPr>
      <w:r>
        <w:rPr>
          <w:rFonts w:ascii="Calibri" w:hAnsi="Calibri" w:eastAsia="Calibri"/>
          <w:b w:val="0"/>
          <w:sz w:val="18"/>
        </w:rPr>
        <w:t>Adapted from Page, M. J., McKenzie, J. E., Bossuyt, P. M., Boutron, I., Hoffmann, T. C., Mulrow, C. D., et al. (2021). The PRISMA 2020 statement: an updated guideline for reporting systematic reviews. BMJ, 372, n71. doi: 10.1136/bmj.n71. Companion PRISMA 2020 Abstract checklist content is integrated into the structured Abstract of the manuscript.</w:t>
      </w:r>
    </w:p>
    <w:tbl>
      <w:tblPr>
        <w:tblW w:type="auto" w:w="0"/>
        <w:tblLayout w:type="fixed"/>
        <w:tblLook w:firstColumn="1" w:firstRow="1" w:lastColumn="0" w:lastRow="0" w:noHBand="0" w:noVBand="1" w:val="04A0"/>
      </w:tblPr>
      <w:tblGrid>
        <w:gridCol w:w="3450"/>
        <w:gridCol w:w="3450"/>
        <w:gridCol w:w="3450"/>
        <w:gridCol w:w="3450"/>
      </w:tblGrid>
      <w:tr>
        <w:tc>
          <w:tcPr>
            <w:tcW w:type="dxa" w:w="2268"/>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Section / Topic</w:t>
            </w:r>
          </w:p>
        </w:tc>
        <w:tc>
          <w:tcPr>
            <w:tcW w:type="dxa" w:w="794"/>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w:t>
            </w:r>
          </w:p>
        </w:tc>
        <w:tc>
          <w:tcPr>
            <w:tcW w:type="dxa" w:w="5102"/>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Checklist item</w:t>
            </w:r>
          </w:p>
        </w:tc>
        <w:tc>
          <w:tcPr>
            <w:tcW w:type="dxa" w:w="6236"/>
            <w:vAlign w:val="center"/>
            <w:shd w:val="clear" w:color="auto" w:fill="D9D9D9"/>
            <w:tcBorders>
              <w:top w:val="single" w:sz="4" w:color="808080"/>
              <w:left w:val="single" w:sz="4" w:color="808080"/>
              <w:bottom w:val="single" w:sz="4" w:color="808080"/>
              <w:right w:val="single" w:sz="4" w:color="808080"/>
            </w:tcBorders>
          </w:tcPr>
          <w:p>
            <w:pPr>
              <w:jc w:val="left"/>
            </w:pPr>
            <w:r/>
            <w:r>
              <w:rPr>
                <w:rFonts w:ascii="Calibri" w:hAnsi="Calibri" w:eastAsia="Calibri"/>
                <w:b/>
                <w:sz w:val="20"/>
              </w:rPr>
              <w:t>Location where item is reported</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TITLE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Title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Identify the report as a systematic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Title page — title explicitly identifies the report as “A Systematic Review and Meta-Analysis.”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ABSTRACT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Abstract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See the PRISMA 2020 for Abstracts checklist.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Abstract section — structured abstract reports background, methods (PRISMA 2020 compliance, REML/HKSJ random-effects synthesis, JBI risk of bias, GRADE), results (k = 25 qualitative / 10 quantitative; pooled N = 3,384; trait-by-trait pooled r and 95% CI; two pre-registered moderator effects), and conclusions. Pre-registration DOI is referenced in the Author Note and Declarations.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INTRODUCTION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Rationale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3</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rationale for the review in the context of existing knowledge.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Introduction → “Personality and Academic Achievement in Face-to-Face Contexts” and “The Shift to Online Learning Environments” subsections. Eight prior meta-analyses (Poropat 2009 through Chen et al. 2025) are summarized; the absence of an online-modality moderator is the stated gap.</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Objectives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4</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an explicit statement of the objective(s) or question(s) the review addresses.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Introduction → “The Present Review” subsection — five pre-registered research questions (RQ1–RQ5) and the PICOS framework are stated explicitly.</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METHODS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Eligibility criteria</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inclusion and exclusion criteria for the review and how studies were grouped for the syntheses.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subsection — full PICOS eligibility rules, including population, exposure (Big Five / HEXACO instruments), comparator, primary and secondary outcomes, study design, and publication-type restrictions. Grouping for synthesis is by Big Five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Information sources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6</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all databases, registers, websites, organisations, reference lists and other sources searched or consulted to identify studies. Specify the date when each source was last searched or consulted.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“Information Sources and Search Strategy” subsection — six pre-registered databases (PubMed/MEDLINE, PsycINFO, ERIC, Web of Science, Scopus, ProQuest), Google Scholar, and forward/backward citation snowballing. The protocol-level access deviation and mitigation are disclosed; full search log with execution dates is deposited at https://doi.org/10.17605/OSF.IO/UVJDY.</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Search strategy</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the full search strategies for all databases, registers and websites, including any filters and limits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“Information Sources and Search Strategy” subsection — the three-concept Boolean strategy (personality × online learning × academic outcome) is reproduced in full. The complete query syntax, filters, and per-source hit counts are deposited as search_log.md on OSF (02_search component, https://doi.org/10.17605/OSF.IO/UVJDY).</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Selection process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8</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“Study Selection” subsection — single reviewer (ET) under a pre-specified intra-rater reliability protocol with 10% (title/abstract) and 20% (full-text) re-screening after a ≥7-day wash-out, target Cohen's κ ≥ 0.80; Zotero used for de-duplication. The single-reviewer deviation is transparently disclosed.</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collection process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9</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“Data Extraction” subsection — single reviewer extraction with 10% double-extraction and target ICC(2,1) ≥ 0.90 / κ ≥ 0.80. Author-contact protocol (up to two attempts, ≥2-week interval) for missing statistics. No automation tools.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items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10a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and “Data Extraction” subsections — primary outcome (academic achievement: GPA, course grade, exam, composite); secondary outcomes (satisfaction, engagement, learning behavior, dropout/persistence). For multi-result studies, the most inclusive effect size was retained in the primary pool, with sensitivity analysis using RVE / three-level models.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Data items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10b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List and define all other variables for which data were sought (e.g. participant and intervention characteristics, funding sources). Describe any assumptions made about any missing or unclear information.</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“Data Extraction” subsection — full extraction-form specification (sample, learning context, personality measurement, outcome measurement, effect-size statistics). Missing-information policy: corresponding-author contact, conversion rules where possible, otherwise exclusion with logged reason.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risk of bias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“Risk of Bias Assessment” subsection — Joanna Briggs Institute (JBI) Critical Appraisal Checklist for Analytical Cross-Sectional Studies, 8 items, single reviewer with 20% re-assessment, target κ ≥ 0.80. No automation.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Effect measures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Specify for each outcome the effect measure(s) (e.g. risk ratio, mean difference) used in the synthesis or presentation of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“Effect Size Metric and Transformations” subsection — Pearson r as the primary metric; analyses on the Fisher z scale with back-transformation to r for reporting. Conversion rules for β, d, η², F, and t are pre-specified.</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processes used to decide which studies were eligible for each synthesis (e.g. tabulating the study intervention characteristics and comparing against the planned groups for each synthesis).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“Eligibility Criteria,” “Study Selection,” and “Statistical Analysis and Synthesis Strategy” subsections; Table 1 catalogues all 31 records with eligibility, retention, and trait-by-trait contribution.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required to prepare the data for presentation or synthesis, such as handling of missing summary statistics, or data conversions.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“Effect Size Metric and Transformations” subsection — Fisher z transformation, conversion of β / d / η² / F / t to r, Neuroticism sign alignment for Emotional Stability reports, and the HEXACO-to-Big-Five crosswalk (Ashton &amp; Lee, 2007) with sensitivity variants.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tabulate or visually display results of individual studies and syntheses.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“Statistical Analysis and Synthesis Strategy” and “Publication Bias” subsections — forest plots (Figures 2–6), funnel plots (Figures 7–11), and tables (Tables 1–5). Visualizations produced in ggplot2.</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“Statistical Analysis and Synthesis Strategy” subsection — random-effects meta-analysis with REML τ² estimation, Hartung-Knapp-Sidik-Jonkman 95% CI adjustment, Cochran's Q, I², τ², τ, 95% prediction intervals. Software: R ≥ 4.3.0 with metafor, clubSandwich, dmetar, ggplot2 (deposited renv.lock and sessionInfo on OSF).</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13e</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explore possible causes of heterogeneity among study results (e.g. subgroup analysis, meta-regression).</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“Moderator and Sensitivity Analyses” subsection — nine pre-specified moderators (5 categorical: modality, education level, region, era, outcome type, instrument; 3 continuous: publication year, log-N, RoB score), tested via mixed-effects meta-regression with Wald-type QM tests; Holm-Bonferroni correction within trait. Pre-registered restriction to k ≥ 10 per level for quantitative testing, with the remaining moderators reported narratively (disclosed as a deviation).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Synthesis methods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13f</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sensitivity analyses conducted to assess robustness of the synthesized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“Moderator and Sensitivity Analyses” subsection — seven pre-specified sensitivity analyses (RoB &lt; 5 exclusion; author's-own-study exclusion; converted-effect-size exclusion; small-sample exclusion; HEXACO-mapping variants; leave-one-out with Cook's distance; DerSimonian-Laird vs. REML). Results in Results → “Sensitivity and Robustness” and Table 4.</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Reporting bias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14</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assess risk of bias due to missing results in a synthesis (arising from reporting biases).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“Publication Bias” subsection — funnel plots, Egger's regression, Peters' regression, Duval &amp; Tweedie trim-and-fill (as sensitivity check, not point-estimate correction), and Simonsohn et al. p-curve. Grey-literature inclusion partially mitigates file-drawer effects.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Certainty assessment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any methods used to assess certainty (or confidence) in the body of evidence for an outcome.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“Confidence in Cumulative Evidence (GRADE)” subsection — GRADE adaptation for observational correlational syntheses (Schünemann et al., 2019); five downgrade domains (RoB, inconsistency, indirectness, imprecision, publication bias) and two upgrade considerations (large magnitude, dose-response). Minimum effect of interest |r| = .10.</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RESULTS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selection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16a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the results of the search and selection process, from the number of records identified in the search to the number of studies included in the review, ideally using a flow diagram.</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“Study Selection” subsection and Figure 1 (PRISMA 2020 flow diagram). Counts: 31 catalogued at full-text → 25 retained for qualitative synthesis → 10 contributing to the primary quantitative achievement pool.</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selection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16b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Cite studies that might appear to meet the inclusion criteria, but which were excluded, and explain why they were excluded.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“Study Selection” subsection and Table 1 — six post-eligibility exclusions are individually disclosed with reasons (A-09, A-10, A-16: face-to-face on secondary review; A-24: effect size not extractable; A-05: sample overlap with A-04; A-27: PDF unavailable). Five title-stage exclusions for non-Big-Five frameworks (MBTI, Proactive Personality, TAM, TUE) are summarized in the same subsection.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Study characteristics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Cite each included study and present its characteristics.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“Characteristics of Included Studies” subsection and Table 1 — full per-study characteristics (sample, country, modality, instrument, outcome, N, year, era).</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Risk of bias in studies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18</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risk of bias for each included study.</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“Risk of Bias Across Included Studies” subsection. Per-study JBI 8-item ratings are deposited as Table S2 (supplementary) on OSF (05_risk_of_bias component, https://doi.org/10.17605/OSF.IO/3XYNE).</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individual studies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19</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 all outcomes, present, for each study: (a) summary statistics for each group (where appropriate) and (b) an effect estimate and its precision (e.g. confidence/credible interval), ideally using structured tables or plots.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Forest plots (Figures 2–6) display per-study r and 95% CI for each of the five Big Five traits. Per-study extracted statistics are deposited in data_extraction.csv on OSF (04_extraction component, https://doi.org/10.17605/OSF.IO/5UW98).</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For each synthesis, briefly summarise the characteristics and risk of bias among contributing studies.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“Characteristics of Included Studies,” “Risk of Bias Across Included Studies,” and the trait-specific subsections of “Primary Pooled Effects.”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“Primary Pooled Effects” subsection and Table 2 — pooled r, 95% HKSJ CI, prediction interval, Q, I², τ², τ for each Big Five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investigations of possible causes of heterogeneity among study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“Moderator Analyses” subsection and Table 3 — Q_between, QM, R², and uncorrected/Holm-Bonferroni-corrected p-values for each tested moderator within each trait.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of syntheses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20d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results of all sensitivity analyses conducted to assess the robustness of the synthesized results.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“Sensitivity and Robustness” subsection and Table 4 — full comparison of pooled r and 95% CI under each of the seven sensitivity specifications (RoB &lt; 5 exclusion, author's-own-study exclusion, converted-effect-size exclusion, small-sample exclusion, HEXACO-mapping variants, leave-one-out, alternative τ² estimator).</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Reporting biases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21</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risk of bias due to missing results (arising from reporting biases) for each synthesis assessed.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“Publication Bias” subsection — Egger's regression, Peters' regression, trim-and-fill, and p-curve per trait. Funnel plots (Figures 7–11).</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Certainty of evidence</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22</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Present assessments of certainty (or confidence) in the body of evidence for each outcome assessed.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Results → “GRADE Confidence Ratings” subsection and Table 5 — per-trait GRADE rating (Moderate for Conscientiousness and Extraversion; Low for Openness, Agreeableness, Neuroticism) with downgrade rationales.</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DISCUSSION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a general interpretation of the results in the context of other evidence.</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“Principal Findings in Context” subsection — interpretation against the eight prior face-to-face meta-analyses and the Personality-Achievement Saturation Hypothesis (PASH).</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any limitations of the evidence included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“Limitations of the Evidence Base” subsection.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any limitations of the review processes used.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“Limitations of the Review Process” subsection — single-reviewer workflow, search-database access deviation, narrowed moderator set, reliance on grey literature, and language restriction.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23d</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 implications of the results for practice, policy, and future research.</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Discussion → “Implications for Practice and Future Research” subsection and Conclusion.</w:t>
            </w:r>
          </w:p>
        </w:tc>
      </w:tr>
      <w:tr>
        <w:tc>
          <w:tcPr>
            <w:tcW w:type="dxa" w:w="14400"/>
            <w:gridSpan w:val="4"/>
            <w:tcBorders>
              <w:top w:val="single" w:sz="4" w:color="808080"/>
              <w:left w:val="single" w:sz="4" w:color="808080"/>
              <w:bottom w:val="single" w:sz="4" w:color="808080"/>
              <w:right w:val="single" w:sz="4" w:color="808080"/>
            </w:tcBorders>
            <w:shd w:val="clear" w:color="auto" w:fill="F2F2F2"/>
          </w:tcPr>
          <w:p>
            <w:r/>
            <w:r>
              <w:rPr>
                <w:rFonts w:ascii="Calibri" w:hAnsi="Calibri" w:eastAsia="Calibri"/>
                <w:b/>
                <w:sz w:val="20"/>
              </w:rPr>
              <w:t>OTHER INFORMATION</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24a</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Provide registration information for the review, including the register name and registration number, or state that the review was not registered.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“Pre-registration”; Author Note; and Methods → “Pre-registration and Reporting Standards.” OSF Registries, https://osf.io/e5w47/, DOI: 10.17605/OSF.IO/E5W47, registered 23 April 2026.</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24b</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Indicate where the review protocol can be accessed, or state that a protocol was not prepared.</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“Pre-registration” and “Availability of data and material”; Methods → “Pre-registration and Reporting Standards.” Protocol deposited at https://doi.org/10.17605/OSF.IO/7FRGH (01_protocol component).</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Registration and protocol</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24c</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and explain any amendments to information provided at registration or in the protocol.</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Methods → “Deviations from the Pre-registered Protocol” subsection — three deviations are itemized (search-database access, moderator quantitative-vs-narrative reduction with k-per-level documentation, post-registration addition of Chen et al. 2025 to the benchmark corpus only, not the synthesis pool).</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Support</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25</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Describe sources of financial or non-financial support for the review, and the role of the funders or sponsors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“Funding”; cover letter. No external funding.</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Competing interests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26</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Declare any competing interests of review authors.</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“Conflict of Interest”; Declaration of Interest Statement (separate file); cover letter. One author-own primary study (Tokiwa, 2025) is potentially eligible; addressed by a pre-specified sensitivity analysis (|Δr| &lt; .001 across traits).</w:t>
            </w:r>
          </w:p>
        </w:tc>
      </w:tr>
      <w:tr>
        <w:tc>
          <w:tcPr>
            <w:tcW w:type="dxa" w:w="2268"/>
            <w:tcBorders>
              <w:top w:val="single" w:sz="4" w:color="808080"/>
              <w:left w:val="single" w:sz="4" w:color="808080"/>
              <w:bottom w:val="single" w:sz="4" w:color="808080"/>
              <w:right w:val="single" w:sz="4" w:color="808080"/>
            </w:tcBorders>
            <w:vAlign w:val="top"/>
          </w:tcPr>
          <w:p>
            <w:r>
              <w:rPr>
                <w:rFonts w:ascii="Calibri" w:hAnsi="Calibri" w:eastAsia="Calibri"/>
                <w:b w:val="0"/>
                <w:sz w:val="18"/>
              </w:rPr>
              <w:t>Availability of data, code and other materials</w:t>
            </w:r>
          </w:p>
        </w:tc>
        <w:tc>
          <w:tcPr>
            <w:tcW w:type="dxa" w:w="794"/>
            <w:tcBorders>
              <w:top w:val="single" w:sz="4" w:color="808080"/>
              <w:left w:val="single" w:sz="4" w:color="808080"/>
              <w:bottom w:val="single" w:sz="4" w:color="808080"/>
              <w:right w:val="single" w:sz="4" w:color="808080"/>
            </w:tcBorders>
            <w:vAlign w:val="top"/>
          </w:tcPr>
          <w:p>
            <w:pPr>
              <w:jc w:val="center"/>
            </w:pPr>
            <w:r>
              <w:rPr>
                <w:rFonts w:ascii="Calibri" w:hAnsi="Calibri" w:eastAsia="Calibri"/>
                <w:b/>
                <w:sz w:val="18"/>
              </w:rPr>
              <w:t>27</w:t>
            </w:r>
          </w:p>
        </w:tc>
        <w:tc>
          <w:tcPr>
            <w:tcW w:type="dxa" w:w="5102"/>
            <w:tcBorders>
              <w:top w:val="single" w:sz="4" w:color="808080"/>
              <w:left w:val="single" w:sz="4" w:color="808080"/>
              <w:bottom w:val="single" w:sz="4" w:color="808080"/>
              <w:right w:val="single" w:sz="4" w:color="808080"/>
            </w:tcBorders>
            <w:vAlign w:val="top"/>
          </w:tcPr>
          <w:p>
            <w:r>
              <w:rPr>
                <w:rFonts w:ascii="Calibri" w:hAnsi="Calibri" w:eastAsia="Calibri"/>
                <w:b w:val="0"/>
                <w:sz w:val="18"/>
              </w:rPr>
              <w:t>Report which of the following are publicly available and where they can be found: template data collection forms; data extracted from included studies; data used for all analyses; analytic code; any other materials used in the review.</w:t>
            </w:r>
          </w:p>
        </w:tc>
        <w:tc>
          <w:tcPr>
            <w:tcW w:type="dxa" w:w="6236"/>
            <w:tcBorders>
              <w:top w:val="single" w:sz="4" w:color="808080"/>
              <w:left w:val="single" w:sz="4" w:color="808080"/>
              <w:bottom w:val="single" w:sz="4" w:color="808080"/>
              <w:right w:val="single" w:sz="4" w:color="808080"/>
            </w:tcBorders>
            <w:vAlign w:val="top"/>
          </w:tcPr>
          <w:p>
            <w:r>
              <w:rPr>
                <w:rFonts w:ascii="Calibri" w:hAnsi="Calibri" w:eastAsia="Calibri"/>
                <w:b w:val="0"/>
                <w:sz w:val="18"/>
              </w:rPr>
              <w:t>Declarations → “Availability of data and material”; Methods → “Software and Reproducibility.” All materials are deposited on the OSF project (https://doi.org/10.17605/OSF.IO/79M5J) across seven DOI-tagged components: 01_protocol, 02_search, 03_screening, 04_extraction, 05_risk_of_bias, 06_analysis, 07_pdf_index. Version-controlled mirror at https://github.com/etoki/paper.</w:t>
            </w:r>
          </w:p>
        </w:tc>
      </w:tr>
    </w:tbl>
    <w:p/>
    <w:p>
      <w:pPr>
        <w:spacing w:before="120"/>
      </w:pPr>
      <w:r>
        <w:rPr>
          <w:rFonts w:ascii="Calibri" w:hAnsi="Calibri" w:eastAsia="Calibri"/>
          <w:b w:val="0"/>
          <w:sz w:val="18"/>
        </w:rPr>
        <w:t>Page numbers are not used because they shift between the journal-formatted PDF and the reviewer (double-spaced) PDF; locations are referenced by section and subsection headings instead. The full PRISMA 2020 statement and Explanation &amp; Elaboration document are available at https://www.prisma-statement.org.</w:t>
      </w:r>
    </w:p>
    <w:sectPr w:rsidR="00FC693F" w:rsidRPr="0006063C" w:rsidSect="00034616">
      <w:pgSz w:w="15840" w:h="122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