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76" w:lineRule="auto"/>
        <w:jc w:val="left"/>
      </w:pPr>
      <w:r>
        <w:rPr>
          <w:rFonts w:ascii="Calibri" w:hAnsi="Calibri"/>
          <w:sz w:val="22"/>
        </w:rPr>
        <w:t>Eisuke Tokiwa</w:t>
      </w:r>
    </w:p>
    <w:p>
      <w:pPr>
        <w:spacing w:after="0" w:line="276" w:lineRule="auto"/>
        <w:jc w:val="left"/>
      </w:pPr>
      <w:r>
        <w:rPr>
          <w:rFonts w:ascii="Calibri" w:hAnsi="Calibri"/>
          <w:sz w:val="22"/>
        </w:rPr>
        <w:t>Founder, SUNBLAZE Co., Ltd.</w:t>
      </w:r>
    </w:p>
    <w:p>
      <w:pPr>
        <w:spacing w:after="0" w:line="276" w:lineRule="auto"/>
        <w:jc w:val="left"/>
      </w:pPr>
      <w:r>
        <w:rPr>
          <w:rFonts w:ascii="Calibri" w:hAnsi="Calibri"/>
          <w:sz w:val="22"/>
        </w:rPr>
        <w:t>6th floor, Nishi-Shinjuku Mizuma Building</w:t>
      </w:r>
    </w:p>
    <w:p>
      <w:pPr>
        <w:spacing w:after="0" w:line="276" w:lineRule="auto"/>
        <w:jc w:val="left"/>
      </w:pPr>
      <w:r>
        <w:rPr>
          <w:rFonts w:ascii="Calibri" w:hAnsi="Calibri"/>
          <w:sz w:val="22"/>
        </w:rPr>
        <w:t>3-3-13 Nishi-Shinjuku, Shinjuku-ku, Tokyo 160-0023, Japan</w:t>
      </w:r>
    </w:p>
    <w:p>
      <w:pPr>
        <w:spacing w:after="0" w:line="276" w:lineRule="auto"/>
        <w:jc w:val="left"/>
      </w:pPr>
      <w:r>
        <w:rPr>
          <w:rFonts w:ascii="Calibri" w:hAnsi="Calibri"/>
          <w:sz w:val="22"/>
        </w:rPr>
        <w:t>ORCID: 0009-0009-7124-6669</w:t>
      </w:r>
    </w:p>
    <w:p>
      <w:pPr>
        <w:spacing w:after="0" w:line="276" w:lineRule="auto"/>
        <w:jc w:val="left"/>
      </w:pPr>
      <w:r>
        <w:rPr>
          <w:rFonts w:ascii="Calibri" w:hAnsi="Calibri"/>
          <w:sz w:val="22"/>
        </w:rPr>
        <w:t>Tel: +81-80-7279-4835</w:t>
      </w:r>
    </w:p>
    <w:p>
      <w:pPr>
        <w:spacing w:after="0" w:line="276" w:lineRule="auto"/>
        <w:jc w:val="left"/>
      </w:pPr>
      <w:r>
        <w:rPr>
          <w:rFonts w:ascii="Calibri" w:hAnsi="Calibri"/>
          <w:sz w:val="22"/>
        </w:rPr>
        <w:t>Email: eisuke.tokiwa@sunblaze.jp</w:t>
      </w:r>
    </w:p>
    <w:p>
      <w:pPr>
        <w:spacing w:after="0" w:line="276" w:lineRule="auto"/>
        <w:jc w:val="left"/>
      </w:pPr>
    </w:p>
    <w:p>
      <w:pPr>
        <w:spacing w:after="120" w:line="276" w:lineRule="auto"/>
        <w:jc w:val="left"/>
      </w:pPr>
      <w:r>
        <w:rPr>
          <w:rFonts w:ascii="Calibri" w:hAnsi="Calibri"/>
          <w:sz w:val="22"/>
        </w:rPr>
        <w:t>May 14, 2026</w:t>
      </w:r>
    </w:p>
    <w:p>
      <w:pPr>
        <w:spacing w:after="0" w:line="276" w:lineRule="auto"/>
        <w:jc w:val="left"/>
      </w:pPr>
    </w:p>
    <w:p>
      <w:pPr>
        <w:spacing w:after="0" w:line="276" w:lineRule="auto"/>
        <w:jc w:val="left"/>
      </w:pPr>
      <w:r>
        <w:rPr>
          <w:rFonts w:ascii="Calibri" w:hAnsi="Calibri"/>
          <w:sz w:val="22"/>
        </w:rPr>
        <w:t>To the Editors,</w:t>
      </w:r>
    </w:p>
    <w:p>
      <w:pPr>
        <w:spacing w:after="0" w:line="276" w:lineRule="auto"/>
        <w:jc w:val="left"/>
      </w:pPr>
      <w:r>
        <w:rPr>
          <w:rFonts w:ascii="Calibri" w:hAnsi="Calibri"/>
          <w:sz w:val="22"/>
        </w:rPr>
        <w:t>Healthcare (MDPI)</w:t>
      </w:r>
    </w:p>
    <w:p>
      <w:pPr>
        <w:spacing w:after="0" w:line="276" w:lineRule="auto"/>
        <w:jc w:val="left"/>
      </w:pPr>
    </w:p>
    <w:p>
      <w:pPr>
        <w:spacing w:after="120" w:line="276" w:lineRule="auto"/>
        <w:jc w:val="left"/>
      </w:pPr>
      <w:r>
        <w:rPr>
          <w:rFonts w:ascii="Calibri" w:hAnsi="Calibri"/>
          <w:sz w:val="22"/>
        </w:rPr>
        <w:t>Dear Editors,</w:t>
      </w:r>
    </w:p>
    <w:p>
      <w:pPr>
        <w:spacing w:after="120" w:line="276" w:lineRule="auto"/>
        <w:jc w:val="left"/>
      </w:pPr>
      <w:r>
        <w:rPr>
          <w:rFonts w:ascii="Calibri" w:hAnsi="Calibri"/>
          <w:sz w:val="22"/>
        </w:rPr>
        <w:t>I am pleased to submit my manuscript entitled “Associations of HEXACO and Dark Traits with Power and Gender Harassment” for consideration in Healthcare. The manuscript fits the “Mental Health, Workplace Health, and Well-being” topical area.</w:t>
      </w:r>
    </w:p>
    <w:p>
      <w:pPr>
        <w:spacing w:after="120" w:line="276" w:lineRule="auto"/>
        <w:jc w:val="left"/>
      </w:pPr>
      <w:r>
        <w:rPr>
          <w:rFonts w:ascii="Calibri" w:hAnsi="Calibri"/>
          <w:b/>
          <w:sz w:val="22"/>
        </w:rPr>
        <w:t>Contribution.</w:t>
      </w:r>
      <w:r>
        <w:rPr>
          <w:rFonts w:ascii="Calibri" w:hAnsi="Calibri"/>
          <w:sz w:val="22"/>
        </w:rPr>
        <w:t xml:space="preserve"> This study examines whether the HEXACO model—especially Honesty–Humility—adds predictive value beyond the Dark Triad (Machiavellianism, narcissism, psychopathy) for self-reported workplace harassment perpetration tendencies in a Japanese (non-WEIRD) employed adult sample (N = 354). I evaluate both power harassment and gender harassment, addressing two questions of theoretical and applied interest: (a) do broad moral-personality dimensions provide incremental prediction over antagonistic dark traits, and (b) do these associations generalize outside Western WEIRD contexts?</w:t>
      </w:r>
    </w:p>
    <w:p>
      <w:pPr>
        <w:spacing w:after="120" w:line="276" w:lineRule="auto"/>
        <w:jc w:val="left"/>
      </w:pPr>
      <w:r>
        <w:rPr>
          <w:rFonts w:ascii="Calibri" w:hAnsi="Calibri"/>
          <w:b/>
          <w:sz w:val="22"/>
        </w:rPr>
        <w:t>Methods and key findings.</w:t>
      </w:r>
      <w:r>
        <w:rPr>
          <w:rFonts w:ascii="Calibri" w:hAnsi="Calibri"/>
          <w:sz w:val="22"/>
        </w:rPr>
        <w:t xml:space="preserve"> Using Spearman rank correlations and HC3-robust hierarchical multiple regressions, I specify three nested models (Model A: controls + Dark Triad; Model B: + HEXACO; Model C: Honesty–Humility × Dark Triad interactions), with sensitivity analyses excluding high-influence cases (Cook’s D &gt; 4/n) and multicollinearity diagnostics (VIF ≤ 2.00). Hypotheses (H1–H5) are stated in falsifiable form, including pre-specified pattern-level predictions across outcomes and across sex. Across models, psychopathy is a consistent positive predictor of power-harassment perpetration tendencies (β ≈ .32–.40, p &lt; .001), whereas Honesty–Humility is negatively associated (β = −.14, p = .049). For gender-harassment perpetration tendencies, narcissism and psychopathy are positive predictors, while Honesty–Humility (β = −.23, p &lt; .001) and Openness (β = −.24, p &lt; .001) are negative predictors; Machiavellianism shows a negative coefficient that is consistent in sign with its small bivariate negative correlation in this sample (ρ ≈ −.10) rather than emerging as a sign reversal under adjustment, and I do not interpret it as a substantive ‘protective’ effect. Adding HEXACO yields meaningful incremental variance (ΔR² = .032, p = .036 for power; ΔR² = .096, p &lt; .001 for gender). Sex-stratified analyses indicate a divergence in predictor structure (Openness dominant negative predictor of gender-harassment perpetration tendencies among men; Honesty–Humility dominant among women), which I read as a hypothesis-generating pattern rather than as a confirmed moderation effect. The manuscript explicitly frames the residual Honesty–Humility association after adjustment for the Dark Triad as an adjusted association rather than as evidence of a separable latent fairness/sincerity factor distinct from antagonism (the latter would require a latent-variable framework not estimated here). Findings inform tentative implications for harassment-prevention frameworks; I do not advocate personality-based selection or screening.</w:t>
      </w:r>
    </w:p>
    <w:p>
      <w:pPr>
        <w:spacing w:after="120" w:line="276" w:lineRule="auto"/>
        <w:jc w:val="left"/>
      </w:pPr>
      <w:r>
        <w:rPr>
          <w:rFonts w:ascii="Calibri" w:hAnsi="Calibri"/>
          <w:b/>
          <w:sz w:val="22"/>
        </w:rPr>
        <w:t>Fit with Healthcare.</w:t>
      </w:r>
      <w:r>
        <w:rPr>
          <w:rFonts w:ascii="Calibri" w:hAnsi="Calibri"/>
          <w:sz w:val="22"/>
        </w:rPr>
        <w:t xml:space="preserve"> Workplace harassment is a major occupational-health risk associated with deteriorated mental health, increased turnover, and reduced organisational well-being. Healthcare regularly publishes empirical work on psychosocial occupational health, and the present manuscript contributes individual-difference evidence on perpetration tendencies from a Japanese employee sample — a population context still under-represented in the workplace-health literature. The findings are directly relevant to readers concerned with evidence-based prevention strategies and organisational well-being.</w:t>
      </w:r>
    </w:p>
    <w:p>
      <w:pPr>
        <w:spacing w:after="120" w:line="276" w:lineRule="auto"/>
        <w:jc w:val="left"/>
      </w:pPr>
      <w:r>
        <w:rPr>
          <w:rFonts w:ascii="Calibri" w:hAnsi="Calibri"/>
          <w:b/>
          <w:sz w:val="22"/>
        </w:rPr>
        <w:t>Compliance and transparency.</w:t>
      </w:r>
      <w:r>
        <w:rPr>
          <w:rFonts w:ascii="Calibri" w:hAnsi="Calibri"/>
          <w:sz w:val="22"/>
        </w:rPr>
        <w:t xml:space="preserve"> Ethics approval: Institutional Review Board of the Public Health Research Foundation (Reference no. 25G0001), an independent ethics review body unaffiliated with the author and with SUNBLAZE Co., Ltd. Informed consent was obtained from all participants prior to questionnaire administration; the dataset retained for analysis and public release is de-identified (Lancers user identifiers were collected solely to disburse compensation and were permanently deleted after payment), and the geographic-area variable was generalized to three categories (Kanto, Kinki, Other) prior to public release. Conflict of interest: I am the founder of SUNBLAZE Co., Ltd. (Tokyo, Japan), which develops and markets proprietary personality-assessment and HR-analytics tools. The proprietary instruments offered by SUNBLAZE do not include the HEXACO-60 or the SD3-J used in this study, and the present findings are not intended for, and will not be used in, SUNBLAZE product development, validation, marketing, or commercial promotion. I nonetheless disclose this commercial affiliation as a potential perceived conflict of interest in line with COPE and ICMJE guidance. Funding: this research was funded entirely from my personal resources; no external grant from public, commercial, or not-for-profit funding bodies was received, and SUNBLAZE Co., Ltd. provided no financial contribution and no in-kind support at any stage of the research, including any Article Processing Charge.</w:t>
      </w:r>
    </w:p>
    <w:p>
      <w:pPr>
        <w:spacing w:after="120" w:line="276" w:lineRule="auto"/>
        <w:jc w:val="left"/>
      </w:pPr>
      <w:r>
        <w:rPr>
          <w:rFonts w:ascii="Calibri" w:hAnsi="Calibri"/>
          <w:b/>
          <w:sz w:val="22"/>
        </w:rPr>
        <w:t>Open science and preprint.</w:t>
      </w:r>
      <w:r>
        <w:rPr>
          <w:rFonts w:ascii="Calibri" w:hAnsi="Calibri"/>
          <w:sz w:val="22"/>
        </w:rPr>
        <w:t xml:space="preserve"> A preprint of this manuscript is publicly available on Research Square (v1; https://doi.org/10.21203/rs.3.rs-7756124/v1). The de-identified dataset and analysis script are openly available at https://github.com/etoki/paper (harassment/raw.csv, harassment/analysis.py).</w:t>
      </w:r>
    </w:p>
    <w:p>
      <w:pPr>
        <w:spacing w:after="120" w:line="276" w:lineRule="auto"/>
        <w:jc w:val="left"/>
      </w:pPr>
      <w:r>
        <w:rPr>
          <w:rFonts w:ascii="Calibri" w:hAnsi="Calibri"/>
          <w:sz w:val="22"/>
        </w:rPr>
        <w:t>This manuscript is original and is not currently under consideration by any other journal. The Research Square preprint (v1) is explicitly disclosed above; any substantive revisions during peer review will be reflected in a versioned preprint update under the same DOI stem. I am the sole author and accept full accountability for all aspects of the work.</w:t>
      </w:r>
    </w:p>
    <w:p>
      <w:pPr>
        <w:spacing w:after="120" w:line="276" w:lineRule="auto"/>
        <w:jc w:val="left"/>
      </w:pPr>
      <w:r>
        <w:rPr>
          <w:rFonts w:ascii="Calibri" w:hAnsi="Calibri"/>
          <w:sz w:val="22"/>
        </w:rPr>
        <w:t>All MDPI submission requirements are addressed: ORCID, structured declarations conforming to the Healthcare template, and data availability linked to a public repository (sole author).</w:t>
      </w:r>
    </w:p>
    <w:p>
      <w:pPr>
        <w:spacing w:after="120" w:line="276" w:lineRule="auto"/>
        <w:jc w:val="left"/>
      </w:pPr>
      <w:r>
        <w:rPr>
          <w:rFonts w:ascii="Calibri" w:hAnsi="Calibri"/>
          <w:sz w:val="22"/>
        </w:rPr>
        <w:t>Thank you for considering my submission. I look forward to your decision.</w:t>
      </w:r>
    </w:p>
    <w:p>
      <w:pPr>
        <w:spacing w:after="0" w:line="276" w:lineRule="auto"/>
        <w:jc w:val="left"/>
      </w:pPr>
      <w:r>
        <w:rPr>
          <w:rFonts w:ascii="Calibri" w:hAnsi="Calibri"/>
          <w:sz w:val="22"/>
        </w:rPr>
        <w:t>Sincerely,</w:t>
      </w:r>
    </w:p>
    <w:p>
      <w:pPr>
        <w:spacing w:after="0" w:line="276" w:lineRule="auto"/>
        <w:jc w:val="left"/>
      </w:pPr>
    </w:p>
    <w:p>
      <w:pPr>
        <w:spacing w:after="0" w:line="276" w:lineRule="auto"/>
        <w:jc w:val="left"/>
      </w:pPr>
      <w:r>
        <w:rPr>
          <w:rFonts w:ascii="Calibri" w:hAnsi="Calibri"/>
          <w:sz w:val="22"/>
        </w:rPr>
        <w:t>Eisuke Tokiwa</w:t>
      </w:r>
    </w:p>
    <w:p>
      <w:pPr>
        <w:spacing w:after="0" w:line="276" w:lineRule="auto"/>
        <w:jc w:val="left"/>
      </w:pPr>
      <w:r>
        <w:rPr>
          <w:rFonts w:ascii="Calibri" w:hAnsi="Calibri"/>
          <w:sz w:val="22"/>
        </w:rPr>
        <w:t>Founder, SUNBLAZE Co., Ltd.</w:t>
      </w:r>
    </w:p>
    <w:p>
      <w:pPr>
        <w:spacing w:after="0" w:line="276" w:lineRule="auto"/>
        <w:jc w:val="left"/>
      </w:pPr>
      <w:r>
        <w:rPr>
          <w:rFonts w:ascii="Calibri" w:hAnsi="Calibri"/>
          <w:sz w:val="22"/>
        </w:rPr>
        <w:t>Tokyo, Japan</w:t>
      </w:r>
    </w:p>
    <w:p>
      <w:pPr>
        <w:spacing w:after="0" w:line="276" w:lineRule="auto"/>
        <w:jc w:val="left"/>
      </w:pPr>
      <w:r>
        <w:rPr>
          <w:rFonts w:ascii="Calibri" w:hAnsi="Calibri"/>
          <w:sz w:val="22"/>
        </w:rPr>
        <w:t>ORCID: 0009-0009-7124-6669</w:t>
      </w:r>
    </w:p>
    <w:p>
      <w:pPr>
        <w:spacing w:after="0" w:line="276" w:lineRule="auto"/>
        <w:jc w:val="left"/>
      </w:pPr>
      <w:r>
        <w:rPr>
          <w:rFonts w:ascii="Calibri" w:hAnsi="Calibri"/>
          <w:sz w:val="22"/>
        </w:rPr>
        <w:t>Email: eisuke.tokiwa@sunblaze.jp</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