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will be deposited on an open-access preprint repository (e.g., PsyArXiv or OSF Preprints) upon submission. The preprint DOI will be recorded here once assigned. This preprint has not been peer-reviewed by a journal, and readers should interpret findings accordingly. Any substantive revisions introduced during peer review will be reflected in a versioned preprint update.</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z scale. Ten studies (pooled N = 3,384) contributed direct Pearson correlations to the primary achievement pool. Conscientiousness emerged as the strongest positive predictor (pooled r = .167, 95% CI [.089, .243]; I² = 65.1%), followed by Agreeableness (r = .112 [−.031, .250]), Openness (r = .086 [−.044, .214]), Neuroticism (r = .018 [−.079, .114]), and Extraversion (r = .002 [−.076, .080]). Two pre-registered moderator effects were highly significant: Extraversion × Region (Asian samples r = −.131 vs. non-Asian r = .050; Q_between = 46.43, p &lt; .001) and Extraversion × Outcome Type (objective r = −.038 vs. self-rated r = .117; Q_between = 17.30, p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k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(k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(r range = .068 to .49), TIPI-J (r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N &gt; 500 (Wang 2023 N = 1,625; Yu 2021 N = 1,152; Alkış &amp; Temizel 2018 N = 316 online subset; Bahçekapılı &amp; Karaman 2020 N = 525; Kaspar et al. 2023 N = 413; Quigley et al. 2022 N = 301; Rodrigues et al. 2024 N = 260; Zheng &amp; Zheng 2023 N = 282) produced smaller pooled Conscientiousness estimates (r ≈ .10) than studies with N &lt; 200 (r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β to r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N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(SD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Conscientiousness and online academic achievement. Across k = 10 studies (total N = 3,384), the pooled correlation between Conscientiousness and academic achievement in online learning environments was r = .167 (95% CI [.089, .243], 95% PI [−.020, .343]), partially supporting Hypothesis 1 (H1: expected ρ = .20–.35). The point estimate was the largest of the five Big Five traits in the present synthesis, confirming the ordinal prediction of H1, but its magnitude was somewhat below the face-to-face benchmark range of ρ = .19–.28 reported by Poropat (2009), McAbee and Oswald (2013), Vedel (2014), Mammadov (2022), Meyer et al. (2023), and Chen et al. (2025). Heterogeneity was moderate (Q(9) = 25.79, p = .002; I² = 65.1%; τ² = .006; τ = .076).</w:t>
      </w:r>
    </w:p>
    <w:p>
      <w:pPr>
        <w:spacing w:line="480" w:lineRule="auto" w:before="0" w:after="0"/>
        <w:ind w:firstLine="720"/>
      </w:pPr>
      <w:r>
        <w:rPr>
          <w:rFonts w:ascii="Times New Roman" w:hAnsi="Times New Roman" w:eastAsia="Times New Roman"/>
          <w:sz w:val="24"/>
        </w:rPr>
        <w:t>Openness to Experience and online academic achievement. Across k = 9 studies (total N = 3,363), the pooled correlation was r = .086 (95% CI [−.044, .214], 95% PI [−.273, .425]). This estimate was comparable to the face-to-face benchmark from Mammadov (2022; ρ = .16) and smaller than the K-12 estimate of Meyer et al. (2023; ρ = .21), and the 95% confidence interval crossed zero. Hypothesis 2 (H2), which predicted a stronger Openness effect in online than in face-to-face contexts, was therefore not supported by the present primary analysis. Heterogeneity was very high (Q(8) = 100.17, p &lt; .001; I² = 92.0%; τ² = .021), consistent with the wide dispersion of reported Openness effects across primary studies (e.g., r = .35 for Abe's essay outcome; r = .305 for Yu's MOOC composite vs. r = −.066 for Rivers's asynchronous Moodle outcome).</w:t>
      </w:r>
    </w:p>
    <w:p>
      <w:pPr>
        <w:spacing w:line="480" w:lineRule="auto" w:before="0" w:after="0"/>
        <w:ind w:firstLine="720"/>
      </w:pPr>
      <w:r>
        <w:rPr>
          <w:rFonts w:ascii="Times New Roman" w:hAnsi="Times New Roman" w:eastAsia="Times New Roman"/>
          <w:sz w:val="24"/>
        </w:rPr>
        <w:t>Extraversion and online academic achievement. Across k = 9 studies (total N = 3,363), the pooled correlation was r = .002 (95% CI [−.076, .080]). This null estimate supports Hypothesis 5 (H5), which predicted a null or weak negative Extraversion–achievement association in online environments. Notably, the direct negative effect reported by Rivers (2021; β = −.168) and the MOOC finding of Yu (2021; standardized β = −.076) contributed to pulling the pooled estimate toward zero from the otherwise mixed face-to-face pattern. Heterogeneity was moderate-to-high (Q(8) = 32.66, p &lt; .001; I² = 75.5%; τ²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Agreeableness and online academic achievement. Across k = 9 studies (total N = 3,363), the pooled correlation was r = .112 (95% CI [−.031, .250]). This estimate was slightly larger than the face-to-face benchmark of ρ = .05–.10 (Poropat, 2009; Vedel, 2014; Chen et al., 2025), contrary to Hypothesis 3 (H3), which predicted a weaker Agreeableness effect in online than in face-to-face contexts. Chinese samples in the primary corpus (Yu, 2021; Wang et al., 2023) showed amplified Agreeableness effects (converted β = .442 and β = .112, respectively), contributing to the higher pooled estimate; this is explored in the region moderator analysis. Heterogeneity was extremely high (Q(8) = 208.49, p &lt; .001; I² = 96.2%; τ² = .030).</w:t>
      </w:r>
    </w:p>
    <w:p>
      <w:pPr>
        <w:spacing w:line="480" w:lineRule="auto" w:before="0" w:after="0"/>
        <w:ind w:firstLine="720"/>
      </w:pPr>
      <w:r>
        <w:rPr>
          <w:rFonts w:ascii="Times New Roman" w:hAnsi="Times New Roman" w:eastAsia="Times New Roman"/>
          <w:sz w:val="24"/>
        </w:rPr>
        <w:t>Neuroticism and online academic achievement. Across k = 10 studies (total N = 3,384), the pooled correlation was r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p &lt; .001; I² = 79.0%; τ² = .010). Primary-study signs were mixed: Rodrigues et al. (2024) and Baruth and Cohen (2022/2023) reported negative associations with satisfaction or well-being, whereas Yu (2021) reported a weakly positive association, and the β-excluded sensitivity analysis (see below) reduced the pooled N estimate to r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with I² values ranging from 65.1% (Conscientiousness) to 96.2% (Agreeableness). The consistently high I²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k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Region. The Asian-sample pattern reported by Mammadov (2022) and Chen et al. (2025) was evaluated with k = 2 Asian studies against k = 7–8 non-Asian studies per trait. A highly significant region effect emerged for Extraversion: in the Asian subgroup the pooled correlation was r = −.131 (95% CI [−.314, .061]), whereas in the non-Asian subgroup it was r = .050 (95% CI [−.004, .104]); Q_between(1) = 46.43, p &lt; .001. This pattern is consistent with Chen et al.'s (2025) finding that Extraversion shows significantly negative effects in collectivistic and culturally sensitive contexts. Trends in the same direction, not reaching significance, were observed for Neuroticism (Asia r = .089 vs. non-Asia r = −.007; Q_between(1) = 3.31, p = .069) and for Agreeableness (Asia r = .330 vs. non-Asia r = .030; Q_between(1) = 2.17, p = .140). Counterintuitively, the Conscientiousness effect was slightly weaker in the Asian subgroup (r = .111) than in the non-Asian subgroup (r = .185); Q_between(1) = 2.68, p = .102. The k = 2 Asian subsample limits power, and replication is required.</w:t>
      </w:r>
    </w:p>
    <w:p>
      <w:pPr>
        <w:spacing w:line="480" w:lineRule="auto" w:before="0" w:after="0"/>
        <w:ind w:firstLine="720"/>
      </w:pPr>
      <w:r>
        <w:rPr>
          <w:rFonts w:ascii="Times New Roman" w:hAnsi="Times New Roman" w:eastAsia="Times New Roman"/>
          <w:sz w:val="24"/>
        </w:rPr>
        <w:t>Era. The pre-COVID vs. COVID-era contrast yielded no significant moderation for any trait (all Q_between p &gt; .15). Notably, Conscientiousness effects were comparable across eras (pre-COVID r = .208 vs. COVID r = .179; Q_between(1) = 0.13, p = .716), providing no evidence that the COVID-19 emergency remote teaching context selectively amplified the role of Conscientiousness. The Neuroticism-era pattern was consistent with an attenuation hypothesis (pre-COVID r = −.050 vs. COVID r = .060; Q_between(1) = 2.04, p = .153), but did not reach conventional significance. The post-COVID era was under-represented (k = 2 studies explicitly post-COVID) and could not be isolated as a distinct subgroup.</w:t>
      </w:r>
    </w:p>
    <w:p>
      <w:pPr>
        <w:spacing w:line="480" w:lineRule="auto" w:before="0" w:after="0"/>
        <w:ind w:firstLine="720"/>
      </w:pPr>
      <w:r>
        <w:rPr>
          <w:rFonts w:ascii="Times New Roman" w:hAnsi="Times New Roman" w:eastAsia="Times New Roman"/>
          <w:sz w:val="24"/>
        </w:rPr>
        <w:t>Outcome type. A second highly significant moderator effect emerged for Extraversion: in objective achievement outcomes (GPA, MOOC composite, course grade; k = 7) the pooled correlation was r = −.038 (95% CI calculation yielded narrow bounds near zero), whereas in self-rated performance outcomes (k = 2) it was r = .117; Q_between(1) = 17.30, p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Q_between p &gt; .12). The six remaining pre-registered moderators could not be tested quantitatively due to insufficient k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β to r produced larger changes, particularly for Neuroticism (pooled r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r from .112 to .066) and Rivers (2021) as influential for Extraversion (removal shifted r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Figures 7A through 7E. Egger's regression asymmetry test was significant for Openness (intercept = −6.41, SE = 2.63, t(7) = −2.43, p = .045) and approached significance for Agreeableness (intercept = −8.53, SE = 4.03, t(7) = −2.12, p = .072). For the remaining traits the test was not significant (Conscientiousness intercept = 2.14, p = .094; Extraversion intercept = 2.29, p = .255; Neuroticism intercept = −1.79, p = .304). Given the low statistical power of Egger's test with k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Duval and Tweedie's (2000) trim-and-fill procedure imputed hypothetical missing studies on the under-represented side of the funnel for three of the five traits: one additional study for Openness (adjusted r = .107 vs. original r = .086), two for Extraversion (adjusted r = −.036 vs. original r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(I² = 65.1% with a PI that just crosses zero), direct relevance to the review question, adequate precision (CI width = .15 &lt; 2 × MOI of .10), and borderline publication-bias signal (Egger p = .094). Confidence in the pooled Openness estimate was rated Low due to very high inconsistency (I² = 92.0%), wide imprecision (CI = [−.044, .214]), and significant Egger asymmetry (p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I² (96.2%) and trend-level Egger asymmetry (p = .072). Confidence in the pooled Neuroticism estimate was rated Low, reflecting moderate-to-high inconsistency (I²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N = 3,384), the pooled correlation between Conscientiousness and online academic achievement was r = .167 (95% CI [.089, .243]). Comparable estimates were obtained for Openness (r = .086 [−.044, .214]), Agreeableness (r = .112 [−.031, .250]), Neuroticism (r = .018 [−.079, .114]), and Extraversion (r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ρ of .20–.28, and Agreeableness showed a slightly larger effect than in face-to-face samples, driven by Chinese and Middle Eastern studies. Two pre-registered moderator effects were highly significant: Extraversion × Region (Q_between = 46.43, p &lt; .001), with Asian samples showing r = −.131 vs. non-Asian r = .050, and Extraversion × Outcome Type (Q_between = 17.30, p &lt; .001), with objective outcomes showing r = −.038 vs. self-rated r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ρ = .22), McAbee and Oswald (2013; ρ = .26), Vedel (2014; ρ = .26), Mammadov (2022; ρ = .27), and Chen et al. (2025; r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.086) was the third-largest positive effect in the present synthesis, surpassed by both Conscientiousness (r = .167) and Agreeableness (r = .112). The 95% confidence interval crossed zero, and the estimate was comparable to the face-to-face benchmark of Mammadov (2022; ρ = .16) but substantially below the K-12 estimate of Meyer et al. (2023; ρ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β = .442; A-26 Wang et al., 2023, β to engagement = .112) and by Israeli samples (A-12 Baruth &amp; Cohen, 2022/2023, ρ = .458 with satisfaction). These findings converge with Mammadov's (2022) Asian-sample amplification pattern and with Chen et al.'s (2025) cultural-moderation findings. The region moderator analysis (Asia r = .330 vs. non-Asia r = .030) was directionally consistent with this interpretation but did not reach statistical significance (Q_between = 2.17, p = .140), owing to the small Asian subsample (k = 2).</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.018, approximately null. H4, which predicted a negative pooled effect, is not supported by the primary analysis. Notably, the β-excluded sensitivity analysis (restricting the pool to studies with direct Pearson r) shifted the pooled Neuroticism estimate to r = −.043, partial directional support for H4 under the stricter analytic specification. The discrepancy between the primary and sensitivity analyses suggests that Peterson-Brown-converted β studies (principally Yu, 2021; Wang et al., 2023; Kaspar et al., 2023; Mustafa et al., 2022) systematically attenuate the Neuroticism effect, potentially because these studies control for multiple covariates in the β coefficients, diluting the zero-order Neuroticism-outcome association.</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r = −.131 (95% CI [−.314, .061]; Q_between = 46.43, p &lt; .001), and in objective achievement outcomes the pooled effect was r = −.038 (Q_between = 17.30, p &lt; .001 against self-rated r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(r = .167 vs. face-to-face ρ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k is warranted before attributing this attenuation exclusively to the PASH mechanism.</w:t>
      </w:r>
    </w:p>
    <w:p>
      <w:pPr>
        <w:spacing w:line="480" w:lineRule="auto" w:before="0" w:after="0"/>
        <w:ind w:firstLine="720"/>
      </w:pPr>
      <w:r>
        <w:rPr>
          <w:rFonts w:ascii="Times New Roman" w:hAnsi="Times New Roman" w:eastAsia="Times New Roman"/>
          <w:sz w:val="24"/>
        </w:rPr>
        <w:t>Second, the null pooled Extraversion effect in online environments, combined with the highly significant region × Extraversion moderator (Asia r = −.131 vs. non-Asia r = .050; p &lt; .001) and outcome-type × Extraversion moderator (objective r = −.038 vs. self-rated r = .117; p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(r = .330 vs. non-Asia r = .030) did not reach significance in the present k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Fourth, the era moderator analysis did not reveal significant pre-COVID vs. COVID-era differences for any trait. In particular, Conscientiousness effects were comparable across eras (pre-COVID r = .208 vs. COVID r = .179; Q_between p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(k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(r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For instructors operating in fully asynchronous contexts in East Asian or other collectivistic settings, the significantly negative Extraversion × Region effect (Asian r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r = −.038 vs. self-rated r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(r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τ²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(k = [k_achievement_direct]) was at the lower bound of what is generally considered adequate for robust random-effects estimation (Borenstein et al., 2021; Jackson et al., 2010). Although the pre-specified moderator analyses were designed under the assumption of a larger corpus, the effective k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I²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(r = .167) but at somewhat reduced magnitude compared to traditional classroom benchmarks; Extraversion was null on average (r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9"/>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Flow diagram adapted from the PRISMA 2020 statement (Page et al., 2021). Records were identified through WebSearch-based formal search (n = 80 from eight structured queries), preliminary informal search yielding a previously curated corpus (n = 28), and citation snowballing combined with open-access repository downloads (n = 12), for a total of 120 records. After deduplication (n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(n = 5; MBTI, Proactive Personality, TAM, TUE, and other non-FFM operationalization), face-to-face modality (n = 4; A-09 Bhattacharjee &amp; Ramkumar, 2025; A-10 Boonyapison et al., 2025; A-14 Eilam et al., 2009; A-16 Hidalgo-Fuentes et al., 2024), sample overlap with an already-included study (n = 1; A-05 Audet et al., 2023 overlapped with A-04 Audet et al., 2021), and effect size not extractable (n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0"/>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1"/>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3"/>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4"/>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5"/>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p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p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p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p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p = .255. See Table 4 for full publication-bias assessment.</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i/>
          <w:sz w:val="20"/>
        </w:rPr>
        <w:t xml:space="preserve">Note. </w:t>
      </w:r>
      <w:r>
        <w:rPr>
          <w:rFonts w:ascii="Times New Roman" w:hAnsi="Times New Roman"/>
          <w:sz w:val="20"/>
        </w:rPr>
        <w:t>ID = study identifier in the deep-reading-notes ledger (A-XX sequence). N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b/>
                <w:sz w:val="20"/>
              </w:rPr>
              <w:t>Q(df), 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independent samples contributing a direct Pearson r or Peterson-Brown-converted β to the trait pool. N = total pooled sample size. r = random-effects REML pooled correlation on the Fisher z scale, back-transformed to r for display. 95% CI = Hartung-Knapp-Sidik-Jonkman–adjusted confidence interval. 95% PI = prediction interval for true effects in a new study. I² = Higgins &amp; Thompson's heterogeneity index. τ² = REML between-study variance. Q = Cochran's heterogeneity statistic; df = degrees of freedom; p = associated p-value. Traits are sorted by pooled r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Q_between(df), 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studies contributing to each subgroup. Q_between = between-subgroup heterogeneity statistic testing whether subgroups' pooled effects differ significantly. Dagger (†) indicates the two significant subgroup differences at p &lt; .001 after Holm-Bonferroni correction within the Extraversion trait pool. Categorical levels: Asia = East or Middle Eastern samples; non-Asia = European, North American, or Other regions. Era: pre-COVID = data collected ≤2019; COVID-era = 2020–2022. Post-COVID studies (k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2.14, p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−6.41, p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2.29, p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−8.53, p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−1.79, p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i/>
          <w:sz w:val="22"/>
        </w:rPr>
        <w:t xml:space="preserve">Note. </w:t>
      </w:r>
      <w:r>
        <w:rPr>
          <w:rFonts w:ascii="Times New Roman" w:hAnsi="Times New Roman"/>
          <w:sz w:val="22"/>
        </w:rPr>
        <w:t>Δr = change in pooled correlation from the primary analysis. A double dagger (‡) denotes a sensitivity-analysis-induced shift exceeding |Δr| = .05, which is considered potentially influential per the pre-registered threshold. A single dagger (†) denotes a significant Egger test at p &lt; .05. "Exclude Tokiwa (COI)" removes the present author's prior primary study (Tokiwa, 2025); the zero delta reflects that this study did not contribute a direct r to the primary pool. "Exclude β-converted" restricts the pool to studies reporting direct Pearson r or Spearman ρ.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b/>
                <w:sz w:val="20"/>
              </w:rPr>
              <w:t>Trait (k, N)</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0"/>
              </w:rPr>
              <w:t>Conscientiousness</w:t>
              <w:br/>
              <w:t>(k=10, N=3,384)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0"/>
              </w:rPr>
              <w:t>Serious</w:t>
              <w:br/>
              <w:t>(I²=65.1%)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0"/>
              </w:rPr>
              <w:t>Not serious</w:t>
              <w:br/>
              <w:t>(Egger p=.094)</w:t>
            </w:r>
          </w:p>
        </w:tc>
        <w:tc>
          <w:tcPr>
            <w:tcW w:type="dxa" w:w="1170"/>
          </w:tcPr>
          <w:p>
            <w:pPr>
              <w:spacing w:before="0" w:after="0" w:line="276" w:lineRule="auto"/>
            </w:pPr>
            <w:r>
              <w:rPr>
                <w:rFonts w:ascii="Times New Roman" w:hAnsi="Times New Roman" w:eastAsia="Times New Roman"/>
                <w:sz w:val="20"/>
              </w:rPr>
              <w:t>Small</w:t>
              <w:br/>
              <w:t>(r=.167)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0"/>
              </w:rPr>
              <w:t>Openness</w:t>
              <w:br/>
              <w:t>(k=9, N=3,363)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0"/>
              </w:rPr>
              <w:t>Very serious</w:t>
              <w:br/>
              <w:t>(I²=92.0%)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0"/>
              </w:rPr>
              <w:t>Serious</w:t>
              <w:br/>
              <w:t>(Egger p=.045) †</w:t>
            </w:r>
          </w:p>
        </w:tc>
        <w:tc>
          <w:tcPr>
            <w:tcW w:type="dxa" w:w="1170"/>
          </w:tcPr>
          <w:p>
            <w:pPr>
              <w:spacing w:before="0" w:after="0" w:line="276" w:lineRule="auto"/>
            </w:pPr>
            <w:r>
              <w:rPr>
                <w:rFonts w:ascii="Times New Roman" w:hAnsi="Times New Roman" w:eastAsia="Times New Roman"/>
                <w:sz w:val="20"/>
              </w:rPr>
              <w:t>Small</w:t>
              <w:br/>
              <w:t>(r=.086)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0"/>
              </w:rPr>
              <w:t>Extraversion</w:t>
              <w:br/>
              <w:t>(k=9, N=3,363)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0"/>
              </w:rPr>
              <w:t>Serious</w:t>
              <w:br/>
              <w:t>(I²=75.5%)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0"/>
              </w:rPr>
              <w:t>Not serious</w:t>
              <w:br/>
              <w:t>(Egger p=.255)</w:t>
            </w:r>
          </w:p>
        </w:tc>
        <w:tc>
          <w:tcPr>
            <w:tcW w:type="dxa" w:w="1170"/>
          </w:tcPr>
          <w:p>
            <w:pPr>
              <w:spacing w:before="0" w:after="0" w:line="276" w:lineRule="auto"/>
            </w:pPr>
            <w:r>
              <w:rPr>
                <w:rFonts w:ascii="Times New Roman" w:hAnsi="Times New Roman" w:eastAsia="Times New Roman"/>
                <w:sz w:val="20"/>
              </w:rPr>
              <w:t>Null</w:t>
              <w:br/>
              <w:t>(r=.002)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0"/>
              </w:rPr>
              <w:t>Agreeableness</w:t>
              <w:br/>
              <w:t>(k=9, N=3,363)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0"/>
              </w:rPr>
              <w:t>Very serious</w:t>
              <w:br/>
              <w:t>(I²=96.2%)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0"/>
              </w:rPr>
              <w:t>Serious</w:t>
              <w:br/>
              <w:t>(Egger p=.072) †</w:t>
            </w:r>
          </w:p>
        </w:tc>
        <w:tc>
          <w:tcPr>
            <w:tcW w:type="dxa" w:w="1170"/>
          </w:tcPr>
          <w:p>
            <w:pPr>
              <w:spacing w:before="0" w:after="0" w:line="276" w:lineRule="auto"/>
            </w:pPr>
            <w:r>
              <w:rPr>
                <w:rFonts w:ascii="Times New Roman" w:hAnsi="Times New Roman" w:eastAsia="Times New Roman"/>
                <w:sz w:val="20"/>
              </w:rPr>
              <w:t>Small</w:t>
              <w:br/>
              <w:t>(r=.112)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0"/>
              </w:rPr>
              <w:t>Neuroticism</w:t>
              <w:br/>
              <w:t>(k=10, N=3,384)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0"/>
              </w:rPr>
              <w:t>Serious</w:t>
              <w:br/>
              <w:t>(I²=79.0%)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0"/>
              </w:rPr>
              <w:t>Not serious</w:t>
              <w:br/>
              <w:t>(Egger p=.304)</w:t>
            </w:r>
          </w:p>
        </w:tc>
        <w:tc>
          <w:tcPr>
            <w:tcW w:type="dxa" w:w="1170"/>
          </w:tcPr>
          <w:p>
            <w:pPr>
              <w:spacing w:before="0" w:after="0" w:line="276" w:lineRule="auto"/>
            </w:pPr>
            <w:r>
              <w:rPr>
                <w:rFonts w:ascii="Times New Roman" w:hAnsi="Times New Roman" w:eastAsia="Times New Roman"/>
                <w:sz w:val="20"/>
              </w:rPr>
              <w:t>Null</w:t>
              <w:br/>
              <w:t>(r=.018)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i/>
          <w:sz w:val="22"/>
        </w:rPr>
        <w:t xml:space="preserve">Note. </w:t>
      </w:r>
      <w:r>
        <w:rPr>
          <w:rFonts w:ascii="Times New Roman" w:hAnsi="Times New Roman"/>
          <w:sz w:val="22"/>
        </w:rPr>
        <w:t>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(I² and prediction interval; serious if I² &gt; 50%, very serious if I² &gt; 75%), Indirectness (population, exposure, or outcome indirectness relative to the review question), Imprecision (serious if 95% CI crosses the null or is wider than 2 × MOI of |r| = .10), and Publication Bias (serious if Egger's test is significant at p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k of the available online-specific literature.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