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correlates of academic achievement that were established in face-to-face classrooms retain their correlational validity when instruction is mediated by technology? Personality traits, and in particular the Big Five (Five-Factor Model) dimensions of Conscientiousness, Openness to Experience, Extraversion, Agreeableness, and Neuroticism, are among the most widely studied non-cognitive correlates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is associated with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correlate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correlate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expectations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expectations are theoretically motivated,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correlated with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correlate with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mapping prior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correlates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correlates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Three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fully accounted for by mediating constructs such as self-efficacy and self-regulation, or does it exhibit direct effects beyond these mediators? Because the evidence base is small and the executed search is incomplete relative to the pre-registered information-source plan, all three mapping questions are addressed descriptively rather than as confirmatory tests.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 xml:space="preserve">Publication-bias diagnostics were computed per trait using four complementary procedures, and are reported for descriptive purposes only rather than as inferential tests capable of ruling out bias: visual inspection of funnel plots with pseudo-95% confidence bounds; Egger's regression asymmetry test (Egger et al., 1997); Peters' regression test adapted for correlation effect sizes; and Duval and Tweedie's (2000) trim-and-fill procedure, reported as a descriptive sensitivity check rather than as a point-estimate correction. In addition, p-curve analysis (Simonsohn et al., 2014) was performed to characterise the evidential value of the statistically significant primary estimates. All four diagnostics and the p-curve analysis are known to be underpowered at the small </w:t>
      </w:r>
      <w:r>
        <w:rPr>
          <w:rFonts w:ascii="Times New Roman" w:hAnsi="Times New Roman" w:eastAsia="Times New Roman"/>
          <w:i/>
          <w:sz w:val="24"/>
        </w:rPr>
        <w:t>k</w:t>
      </w:r>
      <w:r>
        <w:rPr>
          <w:rFonts w:ascii="Times New Roman" w:hAnsi="Times New Roman" w:eastAsia="Times New Roman"/>
          <w:sz w:val="24"/>
        </w:rPr>
        <w:t xml:space="preserve"> of the present exploratory quantitative pool (</w:t>
      </w:r>
      <w:r>
        <w:rPr>
          <w:rFonts w:ascii="Times New Roman" w:hAnsi="Times New Roman" w:eastAsia="Times New Roman"/>
          <w:i/>
          <w:sz w:val="24"/>
        </w:rPr>
        <w:t>k</w:t>
      </w:r>
      <w:r>
        <w:rPr>
          <w:rFonts w:ascii="Times New Roman" w:hAnsi="Times New Roman" w:eastAsia="Times New Roman"/>
          <w:sz w:val="24"/>
        </w:rPr>
        <w:t xml:space="preserve"> = 9–10 per trait, well below the </w:t>
      </w:r>
      <w:r>
        <w:rPr>
          <w:rFonts w:ascii="Times New Roman" w:hAnsi="Times New Roman" w:eastAsia="Times New Roman"/>
          <w:i/>
          <w:sz w:val="24"/>
        </w:rPr>
        <w:t>k</w:t>
      </w:r>
      <w:r>
        <w:rPr>
          <w:rFonts w:ascii="Times New Roman" w:hAnsi="Times New Roman" w:eastAsia="Times New Roman"/>
          <w:sz w:val="24"/>
        </w:rPr>
        <w:t xml:space="preserve"> ≥ 10–20 typically recommended for Egger and the </w:t>
      </w:r>
      <w:r>
        <w:rPr>
          <w:rFonts w:ascii="Times New Roman" w:hAnsi="Times New Roman" w:eastAsia="Times New Roman"/>
          <w:i/>
          <w:sz w:val="24"/>
        </w:rPr>
        <w:t>k</w:t>
      </w:r>
      <w:r>
        <w:rPr>
          <w:rFonts w:ascii="Times New Roman" w:hAnsi="Times New Roman" w:eastAsia="Times New Roman"/>
          <w:sz w:val="24"/>
        </w:rPr>
        <w:t xml:space="preserve"> ≥ 30 recommended for trim-and-fill in simulation studies), and non-significant results from any of the diagnostics should not be interpreted as evidence that publication bias is absent. Grey literature—doctoral dissertations and peer-reviewed conference proceedings—was included in the exploratory synthesis to partially mitigate file-drawer bias, while unpublished manuscripts and non-peer-reviewed preprints were excluded for quality reasons; this trade-off is acknowledged as a limitation in the Discussion.</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consistent with Mapping Prior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consistent with the descriptive direction of MP1,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correlated with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Mapping Prior 5 (MP5), which expected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Mapping Prior 3 (MP3), which correlated with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direction of Mapping Prior 4 (MP4), which expected a negative effect more pronounced in fully online than in blended modalities; MP4 was not consistent with the evidence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MP4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hypothesised in Mapping Priors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Publication-Bias Diagnostics (descriptive only)</w:t>
      </w:r>
    </w:p>
    <w:p>
      <w:pPr>
        <w:spacing w:line="480" w:lineRule="auto" w:before="0" w:after="0"/>
        <w:ind w:firstLine="720"/>
      </w:pPr>
      <w:r>
        <w:rPr>
          <w:rFonts w:ascii="Times New Roman" w:hAnsi="Times New Roman" w:eastAsia="Times New Roman"/>
          <w:sz w:val="24"/>
        </w:rPr>
        <w:t xml:space="preserve">The results in this subsection are reported for descriptive purposes only. All of the publication-bias diagnostics used here — funnel-plot inspection, Egger's regression, Peters' regression, and trim-and-fill — are known to be underpowered at </w:t>
      </w:r>
      <w:r>
        <w:rPr>
          <w:rFonts w:ascii="Times New Roman" w:hAnsi="Times New Roman" w:eastAsia="Times New Roman"/>
          <w:i/>
          <w:sz w:val="24"/>
        </w:rPr>
        <w:t>k</w:t>
      </w:r>
      <w:r>
        <w:rPr>
          <w:rFonts w:ascii="Times New Roman" w:hAnsi="Times New Roman" w:eastAsia="Times New Roman"/>
          <w:sz w:val="24"/>
        </w:rPr>
        <w:t xml:space="preserve"> = 9–10 per trait, and none of them can rule out publication bias at this evidence-base size. A non-significant Egger's or Peters' test result should therefore not be interpreted as evidence that bias is absent, and the trim-and-fill imputed studies below should not be interpreted as bias-corrected effect estimates.</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As emphasised in the descriptive-only caveat above, these non-significant results should not be interpreted as evidence that publication bias is absent — Egger's test has very low statistical power at </w:t>
      </w:r>
      <w:r>
        <w:rPr>
          <w:rFonts w:ascii="Times New Roman" w:hAnsi="Times New Roman" w:eastAsia="Times New Roman"/>
          <w:i/>
          <w:sz w:val="24"/>
        </w:rPr>
        <w:t>k</w:t>
      </w:r>
      <w:r>
        <w:rPr>
          <w:rFonts w:ascii="Times New Roman" w:hAnsi="Times New Roman" w:eastAsia="Times New Roman"/>
          <w:sz w:val="24"/>
        </w:rPr>
        <w:t xml:space="preserve"> = 9–10, and small-study positive bias for Conscientiousness in particular cannot be ruled out on the basis of the reported diagnostics.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Mapping Prior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correlate,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Mapping Prior 1 (Conscientiousness as strongest positive correlate).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MP1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directionally consistent with the theoretical expectation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Mapping Prior 2 (Openness as second-strongest positive correlate).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MP2 is not supported. The expectation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correlated with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Mapping Prior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direction of MP4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Mapping Prior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the MP5 expectation of a null overall estimate.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implies a weakened Conscientiousness estimate; the present meta-analytic estimate is consistent with this expectation,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Extraversion–achievement associations at the tertiary level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Hypotheses for Future Practical Testing</w:t>
      </w:r>
    </w:p>
    <w:p>
      <w:pPr>
        <w:spacing w:line="480" w:lineRule="auto" w:before="0" w:after="0"/>
        <w:ind w:firstLine="720"/>
      </w:pPr>
      <w:r>
        <w:rPr>
          <w:rFonts w:ascii="Times New Roman" w:hAnsi="Times New Roman" w:eastAsia="Times New Roman"/>
          <w:sz w:val="24"/>
        </w:rPr>
        <w:t>This subsection lists a small number of hypotheses for future practical testing that follow, directionally, from the mapped evidence. Every item below is framed as a hypothesis that requires empirical validation in independent primary research before being operationalised. The subsection is deliberately not framed as "practical implications" or "recommendations": the exploratory quantitative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subgroup contrasts that motivate the modality-related hypotheses below rest on a very small number of studies per subgroup (in some cases two to three). Practitioners, instructional designers, and educational technology developers should not use the hypotheses below as a basis for design or instructional decisions until each has been tested and supported in adequately powered primary research.</w:t>
      </w:r>
    </w:p>
    <w:p>
      <w:pPr>
        <w:spacing w:line="480" w:lineRule="auto" w:before="0" w:after="0"/>
        <w:ind w:firstLine="720"/>
      </w:pPr>
      <w:r>
        <w:rPr>
          <w:rFonts w:ascii="Times New Roman" w:hAnsi="Times New Roman" w:eastAsia="Times New Roman"/>
          <w:sz w:val="24"/>
        </w:rPr>
        <w:t>Hypothesis for future practical testing (HPT-1). Building on the observation that the Conscientiousness–achievement association is the only estimate in the present synthesis whose 95% prediction interval does not include zero, we hypothesise — for future empirical validation — that online-learning features that scaffold self-regulated learning (structured scheduling tools, progress tracking, deadline reminders, and LMS engagement analytics) are likely to correlate with achievement most strongly among learners who are lower in Conscientiousness. This hypothesis is the least tentative in the present synthesis, but is offered here as a hypothesis for future testing rather than as an actionable design recommendation.</w:t>
      </w:r>
    </w:p>
    <w:p>
      <w:pPr>
        <w:spacing w:line="480" w:lineRule="auto" w:before="0" w:after="0"/>
        <w:ind w:firstLine="720"/>
      </w:pPr>
      <w:r>
        <w:rPr>
          <w:rFonts w:ascii="Times New Roman" w:hAnsi="Times New Roman" w:eastAsia="Times New Roman"/>
          <w:sz w:val="24"/>
        </w:rPr>
        <w:t>Hypothesis for future practical testing (HPT-2). Building on the descriptive Extraversion × Region and Extraversion × Outcome-Type subgroup contrasts — noting that both rest on as few as two studies per subgroup on at least one side and that the "Asian" subset includes Middle Eastern samples whose positioning relative to East Asian collectivism is debated — we hypothesise, for future empirical testing rather than as a design recommendation, that (a) intentional incorporation of synchronous elements in fully asynchronous online courses in collectivistic cultural contexts may partially restore social channels through which extraverted learners express engagement, and (b) self-rated performance metrics in online contexts may be susceptible to extraversion-related self-enhancement bias and should be triangulated with objective indicators. Both sub-hypotheses require validation in adequately powered primary research with fully specified cultural context and matched objective / self-rated outcomes; the English-language restriction of the present review means that a non-trivial fraction of the underlying non-English cultural-context literature was implicitly excluded, which further motivates the future-testing framing rather than any operational use of these sub-hypotheses.</w:t>
      </w:r>
    </w:p>
    <w:p>
      <w:pPr>
        <w:spacing w:line="480" w:lineRule="auto" w:before="0" w:after="0"/>
        <w:ind w:firstLine="720"/>
      </w:pPr>
      <w:r>
        <w:rPr>
          <w:rFonts w:ascii="Times New Roman" w:hAnsi="Times New Roman" w:eastAsia="Times New Roman"/>
          <w:sz w:val="24"/>
        </w:rPr>
        <w:t>Hypothesis for future practical testing (HPT-3). Building on the fragile Agreeableness pooled estimate — driven primarily by a single Chinese MOOC sample (Yu, 2021) and appreciably attenuated in the single-study leave-one-out sensitivity analysis — we hypothesise, only for future empirical testing, that cooperative-learning designs in East Asian online contexts may correlate positively with achievement for high-Agreeableness learners. The estimate on which this hypothesis rests is the most fragile in the present synthesis and this hypothesis should not, by itself, motivate any cooperative-learning design recommendation. Convergent narrative evidence from other East Asian and Israeli studies is directionally consistent but not by itself sufficient to justify practical operationalisation. In parallel, and building on the failure to support an amplified Openness estimate, we tentatively hypothesise that exploration-oriented features of current institutional LMS platforms (novel digital tools, supplementary multimedia, flexible navigation) do not currently correlate with achievement gains for high-Openness learners at a detectable magnitude, possibly reflecting the standardisation of online assessment and the constrained range of exploration afforded by most institutional LMS platforms. Both sub-hypotheses are exploratory and are offered for future empirical testing rather than as actionable guidance.</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described Extraversion × modality contrast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era-level differences in the personality-achievement association reflect genuine changes in mechanism or sampling artifacts. Fourth, cross-cultural replication with matched online course content and assessment would isolate the cultural-moderator contribution to the Agreeableness estimate. Fifth, mediator analyses probing self-efficacy, self-regulated learning behaviors, and LMS engagement patterns would clarify the hypothesised association pathway between personality and online achievement, extending the Stajkovic et al. (2018) path-analytic framework to online contexts.</w:t>
      </w:r>
    </w:p>
    <w:p>
      <w:pPr>
        <w:spacing w:line="480" w:lineRule="auto" w:before="0" w:after="0"/>
        <w:ind w:firstLine="720"/>
      </w:pPr>
      <w:r>
        <w:rPr>
          <w:rFonts w:ascii="Times New Roman" w:hAnsi="Times New Roman" w:eastAsia="Times New Roman"/>
          <w:sz w:val="24"/>
        </w:rPr>
        <w:t>Sixth, and building on a suggestion from the peer-review process, the academic discipline (or discipline group) in which online learning takes place should itself be treated as a candidate moderator in future syntheses. The scoping-retained studies of the present review span a heterogeneous mix of disciplines — including psychology, education, information technology and computing, health sciences, business, and mixed general-education contexts — but the number of studies per discipline is too small (typically one to three per discipline in the exploratory quantitative pool) to support a formal discipline-moderator analysis in the present synthesis. As the online-modality Big Five–achievement literature grows, a future update with a larger corpus should record the discipline of each included study as a first-order extraction field, test whether the Conscientiousness–achievement association differs between quantitatively demanding disciplines (e.g., STEM, computing) and less structured ones (e.g., humanities, general education), and test whether the Extraversion–achievement association differs between discipline groups whose online formats typically involve more or less peer interaction. Discipline should be recorded as an ordinal or categorical variable rather than as free text so that it can be pooled reliably across studies.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correlate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exploratory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Completeness-of-Evidence Summary: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PRISMA-ScR-style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PRISMA-ScR statement (Tricco et al., 2018)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