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  <w:jc w:val="center"/>
      </w:pPr>
      <w:r>
        <w:rPr>
          <w:b/>
          <w:sz w:val="28"/>
        </w:rPr>
        <w:t>Response to Reviewer 1 — Minor-Revision Round</w:t>
      </w:r>
    </w:p>
    <w:p>
      <w:pPr>
        <w:spacing w:before="0" w:after="160" w:line="312" w:lineRule="auto"/>
        <w:jc w:val="center"/>
      </w:pPr>
      <w:r>
        <w:rPr>
          <w:sz w:val="22"/>
        </w:rPr>
        <w:t>Big Five Personality Traits and Academic Achievement in Online Learning Environments: A Scoping Review with Exploratory Quantitative Synthesis</w:t>
      </w:r>
    </w:p>
    <w:p>
      <w:pPr>
        <w:spacing w:before="0" w:after="360" w:line="312" w:lineRule="auto"/>
        <w:jc w:val="center"/>
      </w:pPr>
      <w:r>
        <w:rPr>
          <w:sz w:val="20"/>
        </w:rPr>
        <w:t>Heliyon  |  Manuscript ID HELIYON-D-26-02879R1  |  Response date: 14 July 2026</w:t>
      </w:r>
    </w:p>
    <w:p>
      <w:pPr>
        <w:spacing w:before="0" w:after="120" w:line="312" w:lineRule="auto"/>
      </w:pPr>
      <w:r>
        <w:rPr>
          <w:sz w:val="22"/>
        </w:rPr>
        <w:t>I am very grateful to Reviewer 1 for the generous evaluation of the revised manuscript and for confirming that the substantive changes made in the previous revision — the structural reframing to a scoping review under PRISMA-ScR, the addition of Trait Activation Theory alongside the Personality-Achievement Saturation Hypothesis, the reporting of actual intra-rater reliability values and the detailed β-to-r conversion procedures, and the careful contextualisation of the fragile pooled estimates — have resulted in a rigorous and well-calibrated contribution.</w:t>
      </w:r>
    </w:p>
    <w:p>
      <w:pPr>
        <w:spacing w:before="0" w:after="120" w:line="312" w:lineRule="auto"/>
      </w:pPr>
      <w:r>
        <w:rPr>
          <w:sz w:val="22"/>
        </w:rPr>
        <w:t>Reviewer 1 did not raise additional revision requests in this round, so no additional changes were made in response to Reviewer 1. The minor-revision items raised by Reviewer 2 have been addressed in a separate point-by-point response, and the corresponding changes to the manuscript (language audit for residual causal / predictive terminology; explicit descriptive-only framing of the publication-bias diagnostics; explicit inclusion of subject discipline as a candidate moderator in Future Research Directions; further softening of Practical Implications into a "Hypotheses for Future Practical Testing" subsection) are indicated by yellow highlighting in the revised manuscript.</w:t>
      </w:r>
    </w:p>
    <w:p>
      <w:pPr>
        <w:spacing w:before="80" w:after="120" w:line="312" w:lineRule="auto"/>
      </w:pPr>
      <w:r>
        <w:rPr>
          <w:sz w:val="22"/>
        </w:rPr>
      </w:r>
    </w:p>
    <w:p>
      <w:pPr>
        <w:spacing w:before="0" w:after="120" w:line="312" w:lineRule="auto"/>
      </w:pPr>
      <w:r>
        <w:rPr>
          <w:sz w:val="22"/>
        </w:rPr>
        <w:t>Thank you again for the careful review across both rounds. I look forward to the editor's final decision.</w:t>
      </w:r>
    </w:p>
    <w:p>
      <w:pPr>
        <w:spacing w:before="120" w:after="120" w:line="312" w:lineRule="auto"/>
      </w:pPr>
      <w:r>
        <w:rPr>
          <w:sz w:val="22"/>
        </w:rPr>
        <w:t>Sincerely,</w:t>
      </w:r>
    </w:p>
    <w:p>
      <w:pPr>
        <w:spacing w:before="0" w:after="120" w:line="312" w:lineRule="auto"/>
      </w:pPr>
      <w:r>
        <w:rPr>
          <w:sz w:val="22"/>
        </w:rPr>
      </w:r>
    </w:p>
    <w:p>
      <w:pPr>
        <w:spacing w:before="0" w:after="0" w:line="312" w:lineRule="auto"/>
      </w:pPr>
      <w:r>
        <w:rPr>
          <w:sz w:val="20"/>
        </w:rPr>
        <w:t>Eisuke Tokiwa</w:t>
      </w:r>
    </w:p>
    <w:p>
      <w:pPr>
        <w:spacing w:before="0" w:after="0" w:line="312" w:lineRule="auto"/>
      </w:pPr>
      <w:r>
        <w:rPr>
          <w:sz w:val="20"/>
        </w:rPr>
        <w:t>Founder, SUNBLAZE Co., Ltd., Tokyo, Japan</w:t>
      </w:r>
    </w:p>
    <w:p>
      <w:pPr>
        <w:spacing w:before="0" w:after="0" w:line="312" w:lineRule="auto"/>
      </w:pPr>
      <w:r>
        <w:rPr>
          <w:sz w:val="20"/>
        </w:rPr>
        <w:t>ORCID: 0009-0009-7124-6669</w:t>
      </w:r>
    </w:p>
    <w:p>
      <w:pPr>
        <w:spacing w:before="0" w:after="0" w:line="312" w:lineRule="auto"/>
      </w:pPr>
      <w:r>
        <w:rPr>
          <w:sz w:val="20"/>
        </w:rPr>
        <w:t>Email: eisuke.tokiwa@sunblaze.jp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