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480" w:lineRule="auto" w:before="0" w:after="0"/>
      </w:pPr>
      <w:r>
        <w:t>Abstract</w:t>
      </w:r>
    </w:p>
    <w:p>
      <w:pPr>
        <w:spacing w:line="480" w:lineRule="auto" w:before="0" w:after="0"/>
      </w:pPr>
      <w:r>
        <w:rPr>
          <w:rFonts w:ascii="Times New Roman" w:hAnsi="Times New Roman" w:eastAsia="Times New Roman"/>
          <w:sz w:val="24"/>
        </w:rPr>
        <w:t xml:space="preserve">Existing meta-analyses of Big Five personality traits and academic achievement have pooled face-to-face, blended, and online samples without testing delivery mode as a moderator. This pre-registered scoping review maps the available evidence on the Big Five-achievement association specifically in online, blended, and MOOC learning environments and provides an exploratory quantitative synthesis of the subset of studies amenable to meta-analysis. Following the PRISMA-ScR extension for scoping reviews (Tricco et al., 2018), the evidence base was charted via a targeted web-based search and open-access repository retrieval — the pre-registered subscription-gated bibliographic databases (PsycINFO, Scopus, Web of Science, ProQuest Dissertations) could not be accessed in the execution environment and are not searched here, a limitation discussed transparently throughout. 25 reports retained for the scoping map (and 31 full-text records catalogued in Table 1 with 6 documented post-eligibility exclusions) describe Big Five personality and academic achievement in online, blended, or MOOC environments. Ten of these contributed direct or β-converted Pearson correlations to an exploratory quantitative pool (pooled </w:t>
      </w:r>
      <w:r>
        <w:rPr>
          <w:rFonts w:ascii="Times New Roman" w:hAnsi="Times New Roman" w:eastAsia="Times New Roman"/>
          <w:i/>
          <w:sz w:val="24"/>
        </w:rPr>
        <w:t>N</w:t>
      </w:r>
      <w:r>
        <w:rPr>
          <w:rFonts w:ascii="Times New Roman" w:hAnsi="Times New Roman" w:eastAsia="Times New Roman"/>
          <w:sz w:val="24"/>
        </w:rPr>
        <w:t xml:space="preserve"> = 3,384), analysed with random-effects meta-analysis using Hartung-Knapp-Sidik-Jonkman adjustment on the Fisher </w:t>
      </w:r>
      <w:r>
        <w:rPr>
          <w:rFonts w:ascii="Times New Roman" w:hAnsi="Times New Roman" w:eastAsia="Times New Roman"/>
          <w:i/>
          <w:sz w:val="24"/>
        </w:rPr>
        <w:t>z</w:t>
      </w:r>
      <w:r>
        <w:rPr>
          <w:rFonts w:ascii="Times New Roman" w:hAnsi="Times New Roman" w:eastAsia="Times New Roman"/>
          <w:sz w:val="24"/>
        </w:rPr>
        <w:t xml:space="preserve"> scale. Within this small and potentially incomplete map, Conscientiousness showed the largest exploratory pooled estimate (</w:t>
      </w:r>
      <w:r>
        <w:rPr>
          <w:rFonts w:ascii="Times New Roman" w:hAnsi="Times New Roman" w:eastAsia="Times New Roman"/>
          <w:i/>
          <w:sz w:val="24"/>
        </w:rPr>
        <w:t>r</w:t>
      </w:r>
      <w:r>
        <w:rPr>
          <w:rFonts w:ascii="Times New Roman" w:hAnsi="Times New Roman" w:eastAsia="Times New Roman"/>
          <w:sz w:val="24"/>
        </w:rPr>
        <w:t xml:space="preserve"> = .167, 95% CI [.089, .243]; </w:t>
      </w:r>
      <w:r>
        <w:rPr>
          <w:rFonts w:ascii="Times New Roman" w:hAnsi="Times New Roman" w:eastAsia="Times New Roman"/>
          <w:i/>
          <w:sz w:val="24"/>
        </w:rPr>
        <w:t>I²</w:t>
      </w:r>
      <w:r>
        <w:rPr>
          <w:rFonts w:ascii="Times New Roman" w:hAnsi="Times New Roman" w:eastAsia="Times New Roman"/>
          <w:sz w:val="24"/>
        </w:rPr>
        <w:t xml:space="preserve"> = 65.1%), followed by Agreeableness (</w:t>
      </w:r>
      <w:r>
        <w:rPr>
          <w:rFonts w:ascii="Times New Roman" w:hAnsi="Times New Roman" w:eastAsia="Times New Roman"/>
          <w:i/>
          <w:sz w:val="24"/>
        </w:rPr>
        <w:t>r</w:t>
      </w:r>
      <w:r>
        <w:rPr>
          <w:rFonts w:ascii="Times New Roman" w:hAnsi="Times New Roman" w:eastAsia="Times New Roman"/>
          <w:sz w:val="24"/>
        </w:rPr>
        <w:t xml:space="preserve"> = .112 [−.031, .250]), Openness (</w:t>
      </w:r>
      <w:r>
        <w:rPr>
          <w:rFonts w:ascii="Times New Roman" w:hAnsi="Times New Roman" w:eastAsia="Times New Roman"/>
          <w:i/>
          <w:sz w:val="24"/>
        </w:rPr>
        <w:t>r</w:t>
      </w:r>
      <w:r>
        <w:rPr>
          <w:rFonts w:ascii="Times New Roman" w:hAnsi="Times New Roman" w:eastAsia="Times New Roman"/>
          <w:sz w:val="24"/>
        </w:rPr>
        <w:t xml:space="preserve"> = .086 [−.044, .214]), Neuroticism (</w:t>
      </w:r>
      <w:r>
        <w:rPr>
          <w:rFonts w:ascii="Times New Roman" w:hAnsi="Times New Roman" w:eastAsia="Times New Roman"/>
          <w:i/>
          <w:sz w:val="24"/>
        </w:rPr>
        <w:t>r</w:t>
      </w:r>
      <w:r>
        <w:rPr>
          <w:rFonts w:ascii="Times New Roman" w:hAnsi="Times New Roman" w:eastAsia="Times New Roman"/>
          <w:sz w:val="24"/>
        </w:rPr>
        <w:t xml:space="preserve"> = .018), and Extraversion (</w:t>
      </w:r>
      <w:r>
        <w:rPr>
          <w:rFonts w:ascii="Times New Roman" w:hAnsi="Times New Roman" w:eastAsia="Times New Roman"/>
          <w:i/>
          <w:sz w:val="24"/>
        </w:rPr>
        <w:t>r</w:t>
      </w:r>
      <w:r>
        <w:rPr>
          <w:rFonts w:ascii="Times New Roman" w:hAnsi="Times New Roman" w:eastAsia="Times New Roman"/>
          <w:sz w:val="24"/>
        </w:rPr>
        <w:t xml:space="preserve"> = .002). Pre-registered exploratory subgroup contrasts described large between-group differences on Extraversion — by Region (Asian samples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and by Outcome Type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 but rest on as few as two studies per subgroup and should be treated as descriptive observations within the scoping map rather than as confirmatory tests of interaction. The map is broadly consistent with the Personality-Achievement Saturation Hypothesis (Meyer et al., 2023) tentatively extended to technology-mediated learning, but the small mappable pool (</w:t>
      </w:r>
      <w:r>
        <w:rPr>
          <w:rFonts w:ascii="Times New Roman" w:hAnsi="Times New Roman" w:eastAsia="Times New Roman"/>
          <w:i/>
          <w:sz w:val="24"/>
        </w:rPr>
        <w:t>k</w:t>
      </w:r>
      <w:r>
        <w:rPr>
          <w:rFonts w:ascii="Times New Roman" w:hAnsi="Times New Roman" w:eastAsia="Times New Roman"/>
          <w:sz w:val="24"/>
        </w:rPr>
        <w:t xml:space="preserve"> = 10), the limited reach of the executed search, and wide prediction intervals (which include zero for most traits) mean this consistency does not constitute confirmation. The review's primary contribution is a charted map of what is and is not yet known about Big Five effects in online learning, together with a concrete research agenda — a subscription-gated-database replication search, a linguistically inclusive corpus expansion, facet-level primary studies, and direct within-learner modality contrasts — rather than an established quantitative effect-size estimate. The exploratory pooled estimates and subgroup contrasts should not be used as a basis for pedagogical or design recommendations on the present evidence base.</w:t>
      </w:r>
    </w:p>
    <w:p>
      <w:pPr>
        <w:spacing w:line="480" w:lineRule="auto" w:before="0" w:after="0"/>
      </w:pPr>
    </w:p>
    <w:p>
      <w:pPr>
        <w:spacing w:line="480" w:lineRule="auto" w:before="0" w:after="0"/>
      </w:pPr>
      <w:r>
        <w:rPr>
          <w:rFonts w:ascii="Times New Roman" w:hAnsi="Times New Roman" w:eastAsia="Times New Roman"/>
          <w:sz w:val="24"/>
        </w:rPr>
        <w:t>Keywords: Big Five, Five-Factor Model, online learning, e-learning, MOOC, academic achievement, meta-analysis, scoping review, PRISMA</w:t>
      </w:r>
    </w:p>
    <w:p>
      <w:pPr>
        <w:pStyle w:val="Heading1"/>
        <w:spacing w:line="480" w:lineRule="auto" w:before="0" w:after="0"/>
      </w:pPr>
      <w:r>
        <w:t>Introduction</w:t>
      </w:r>
    </w:p>
    <w:p>
      <w:pPr>
        <w:spacing w:line="480" w:lineRule="auto" w:before="0" w:after="0"/>
        <w:ind w:firstLine="720"/>
      </w:pPr>
      <w:r>
        <w:rPr>
          <w:rFonts w:ascii="Times New Roman" w:hAnsi="Times New Roman" w:eastAsia="Times New Roman"/>
          <w:sz w:val="24"/>
        </w:rPr>
        <w:t>Academic performance in higher education has shifted dramatically in the past decade, first through the gradual adoption of learning management systems and massive open online courses, and then, abruptly, through the COVID-19 pandemic, which forced millions of students worldwide into fully online or blended learning environments. As of 2023, a substantial proportion of post-secondary instruction continues to be delivered online or in hybrid modalities, even in contexts where face-to-face teaching is again available. This structural shift raises a fundamental question: do the non-cognitive correlates of academic achievement that were established in face-to-face classrooms retain their correlational validity when instruction is mediated by technology? Personality traits, and in particular the Big Five (Five-Factor Model) dimensions of Conscientiousness, Openness to Experience, Extraversion, Agreeableness, and Neuroticism, are among the most widely studied non-cognitive correlates of academic achievement (Mammadov, 2022; Poropat, 2009). Yet the accumulated meta-analytic evidence, as reviewed below, has been produced almost entirely from samples in which delivery modality is treated as noise rather than as a substantive moderator. The present review is , to the author's knowledge, the first to address this gap quantitatively.</w:t>
      </w:r>
    </w:p>
    <w:p>
      <w:pPr>
        <w:pStyle w:val="Heading2"/>
        <w:spacing w:line="480" w:lineRule="auto" w:before="0" w:after="0"/>
      </w:pPr>
      <w:r>
        <w:t>Personality and Academic Achievement in Face-to-Face Contexts</w:t>
      </w:r>
    </w:p>
    <w:p>
      <w:pPr>
        <w:spacing w:line="480" w:lineRule="auto" w:before="0" w:after="0"/>
        <w:ind w:firstLine="720"/>
      </w:pPr>
      <w:r>
        <w:rPr>
          <w:rFonts w:ascii="Times New Roman" w:hAnsi="Times New Roman" w:eastAsia="Times New Roman"/>
          <w:sz w:val="24"/>
        </w:rPr>
        <w:t xml:space="preserve">Eight large-scale meta-analyses have established a robust pattern of associations between the Big Five personality traits and academic achievement. Poropat (2009), synthesizing 138 samples and over 70,000 participants, reported a corrected correlation of </w:t>
      </w:r>
      <w:r>
        <w:rPr>
          <w:rFonts w:ascii="Times New Roman" w:hAnsi="Times New Roman" w:eastAsia="Times New Roman"/>
          <w:i/>
          <w:sz w:val="24"/>
        </w:rPr>
        <w:t>ρ</w:t>
      </w:r>
      <w:r>
        <w:rPr>
          <w:rFonts w:ascii="Times New Roman" w:hAnsi="Times New Roman" w:eastAsia="Times New Roman"/>
          <w:sz w:val="24"/>
        </w:rPr>
        <w:t xml:space="preserve"> = .22 between Conscientiousness and academic performance, with smaller but significant effects for Openness (</w:t>
      </w:r>
      <w:r>
        <w:rPr>
          <w:rFonts w:ascii="Times New Roman" w:hAnsi="Times New Roman" w:eastAsia="Times New Roman"/>
          <w:i/>
          <w:sz w:val="24"/>
        </w:rPr>
        <w:t>ρ</w:t>
      </w:r>
      <w:r>
        <w:rPr>
          <w:rFonts w:ascii="Times New Roman" w:hAnsi="Times New Roman" w:eastAsia="Times New Roman"/>
          <w:sz w:val="24"/>
        </w:rPr>
        <w:t xml:space="preserve"> = .12) and Agreeableness (</w:t>
      </w:r>
      <w:r>
        <w:rPr>
          <w:rFonts w:ascii="Times New Roman" w:hAnsi="Times New Roman" w:eastAsia="Times New Roman"/>
          <w:i/>
          <w:sz w:val="24"/>
        </w:rPr>
        <w:t>ρ</w:t>
      </w:r>
      <w:r>
        <w:rPr>
          <w:rFonts w:ascii="Times New Roman" w:hAnsi="Times New Roman" w:eastAsia="Times New Roman"/>
          <w:sz w:val="24"/>
        </w:rPr>
        <w:t xml:space="preserve"> = .07), and essentially null effects for Extraversion (</w:t>
      </w:r>
      <w:r>
        <w:rPr>
          <w:rFonts w:ascii="Times New Roman" w:hAnsi="Times New Roman" w:eastAsia="Times New Roman"/>
          <w:i/>
          <w:sz w:val="24"/>
        </w:rPr>
        <w:t>ρ</w:t>
      </w:r>
      <w:r>
        <w:rPr>
          <w:rFonts w:ascii="Times New Roman" w:hAnsi="Times New Roman" w:eastAsia="Times New Roman"/>
          <w:sz w:val="24"/>
        </w:rPr>
        <w:t xml:space="preserve"> = −.01) and Neuroticism (</w:t>
      </w:r>
      <w:r>
        <w:rPr>
          <w:rFonts w:ascii="Times New Roman" w:hAnsi="Times New Roman" w:eastAsia="Times New Roman"/>
          <w:i/>
          <w:sz w:val="24"/>
        </w:rPr>
        <w:t>ρ</w:t>
      </w:r>
      <w:r>
        <w:rPr>
          <w:rFonts w:ascii="Times New Roman" w:hAnsi="Times New Roman" w:eastAsia="Times New Roman"/>
          <w:sz w:val="24"/>
        </w:rPr>
        <w:t xml:space="preserve"> = .02). These findings were replicated and extended by McAbee and Oswald (2013; </w:t>
      </w:r>
      <w:r>
        <w:rPr>
          <w:rFonts w:ascii="Times New Roman" w:hAnsi="Times New Roman" w:eastAsia="Times New Roman"/>
          <w:i/>
          <w:sz w:val="24"/>
        </w:rPr>
        <w:t>k</w:t>
      </w:r>
      <w:r>
        <w:rPr>
          <w:rFonts w:ascii="Times New Roman" w:hAnsi="Times New Roman" w:eastAsia="Times New Roman"/>
          <w:sz w:val="24"/>
        </w:rPr>
        <w:t xml:space="preserve"> = 57, </w:t>
      </w:r>
      <w:r>
        <w:rPr>
          <w:rFonts w:ascii="Times New Roman" w:hAnsi="Times New Roman" w:eastAsia="Times New Roman"/>
          <w:i/>
          <w:sz w:val="24"/>
        </w:rPr>
        <w:t>N</w:t>
      </w:r>
      <w:r>
        <w:rPr>
          <w:rFonts w:ascii="Times New Roman" w:hAnsi="Times New Roman" w:eastAsia="Times New Roman"/>
          <w:sz w:val="24"/>
        </w:rPr>
        <w:t xml:space="preserve"> = 26,382; C </w:t>
      </w:r>
      <w:r>
        <w:rPr>
          <w:rFonts w:ascii="Times New Roman" w:hAnsi="Times New Roman" w:eastAsia="Times New Roman"/>
          <w:i/>
          <w:sz w:val="24"/>
        </w:rPr>
        <w:t>ρ</w:t>
      </w:r>
      <w:r>
        <w:rPr>
          <w:rFonts w:ascii="Times New Roman" w:hAnsi="Times New Roman" w:eastAsia="Times New Roman"/>
          <w:sz w:val="24"/>
        </w:rPr>
        <w:t xml:space="preserve"> = .26) and by Vedel (2014; </w:t>
      </w:r>
      <w:r>
        <w:rPr>
          <w:rFonts w:ascii="Times New Roman" w:hAnsi="Times New Roman" w:eastAsia="Times New Roman"/>
          <w:i/>
          <w:sz w:val="24"/>
        </w:rPr>
        <w:t>k</w:t>
      </w:r>
      <w:r>
        <w:rPr>
          <w:rFonts w:ascii="Times New Roman" w:hAnsi="Times New Roman" w:eastAsia="Times New Roman"/>
          <w:sz w:val="24"/>
        </w:rPr>
        <w:t xml:space="preserve"> = 21, </w:t>
      </w:r>
      <w:r>
        <w:rPr>
          <w:rFonts w:ascii="Times New Roman" w:hAnsi="Times New Roman" w:eastAsia="Times New Roman"/>
          <w:i/>
          <w:sz w:val="24"/>
        </w:rPr>
        <w:t>N</w:t>
      </w:r>
      <w:r>
        <w:rPr>
          <w:rFonts w:ascii="Times New Roman" w:hAnsi="Times New Roman" w:eastAsia="Times New Roman"/>
          <w:sz w:val="24"/>
        </w:rPr>
        <w:t xml:space="preserve"> = 17,717; C </w:t>
      </w:r>
      <w:r>
        <w:rPr>
          <w:rFonts w:ascii="Times New Roman" w:hAnsi="Times New Roman" w:eastAsia="Times New Roman"/>
          <w:i/>
          <w:sz w:val="24"/>
        </w:rPr>
        <w:t>ρ</w:t>
      </w:r>
      <w:r>
        <w:rPr>
          <w:rFonts w:ascii="Times New Roman" w:hAnsi="Times New Roman" w:eastAsia="Times New Roman"/>
          <w:sz w:val="24"/>
        </w:rPr>
        <w:t xml:space="preserve"> = .26), both restricted to tertiary education. Stajkovic et al. (2018) provided additional evidence that Conscientiousness is associated with academic achievement both directly and indirectly through self-efficacy, with the self-efficacy path carrying a substantial proportion of the Conscientiousness effect (</w:t>
      </w:r>
      <w:r>
        <w:rPr>
          <w:rFonts w:ascii="Times New Roman" w:hAnsi="Times New Roman" w:eastAsia="Times New Roman"/>
          <w:i/>
          <w:sz w:val="24"/>
        </w:rPr>
        <w:t>β</w:t>
      </w:r>
      <w:r>
        <w:rPr>
          <w:rFonts w:ascii="Times New Roman" w:hAnsi="Times New Roman" w:eastAsia="Times New Roman"/>
          <w:sz w:val="24"/>
        </w:rPr>
        <w:t xml:space="preserve"> = .24 to .33).</w:t>
      </w:r>
    </w:p>
    <w:p>
      <w:pPr>
        <w:spacing w:line="480" w:lineRule="auto" w:before="0" w:after="0"/>
        <w:ind w:firstLine="720"/>
      </w:pPr>
      <w:r>
        <w:rPr>
          <w:rFonts w:ascii="Times New Roman" w:hAnsi="Times New Roman" w:eastAsia="Times New Roman"/>
          <w:sz w:val="24"/>
        </w:rPr>
        <w:t xml:space="preserve">More recent syntheses have substantially expanded the evidence base. Mammadov (2022), in the largest meta-analysis to date (267 independent samples, </w:t>
      </w:r>
      <w:r>
        <w:rPr>
          <w:rFonts w:ascii="Times New Roman" w:hAnsi="Times New Roman" w:eastAsia="Times New Roman"/>
          <w:i/>
          <w:sz w:val="24"/>
        </w:rPr>
        <w:t>N</w:t>
      </w:r>
      <w:r>
        <w:rPr>
          <w:rFonts w:ascii="Times New Roman" w:hAnsi="Times New Roman" w:eastAsia="Times New Roman"/>
          <w:sz w:val="24"/>
        </w:rPr>
        <w:t xml:space="preserve"> = 413,074), reported a corrected pooled correlation of </w:t>
      </w:r>
      <w:r>
        <w:rPr>
          <w:rFonts w:ascii="Times New Roman" w:hAnsi="Times New Roman" w:eastAsia="Times New Roman"/>
          <w:i/>
          <w:sz w:val="24"/>
        </w:rPr>
        <w:t>ρ</w:t>
      </w:r>
      <w:r>
        <w:rPr>
          <w:rFonts w:ascii="Times New Roman" w:hAnsi="Times New Roman" w:eastAsia="Times New Roman"/>
          <w:sz w:val="24"/>
        </w:rPr>
        <w:t xml:space="preserve"> = .27 for Conscientiousness and </w:t>
      </w:r>
      <w:r>
        <w:rPr>
          <w:rFonts w:ascii="Times New Roman" w:hAnsi="Times New Roman" w:eastAsia="Times New Roman"/>
          <w:i/>
          <w:sz w:val="24"/>
        </w:rPr>
        <w:t>ρ</w:t>
      </w:r>
      <w:r>
        <w:rPr>
          <w:rFonts w:ascii="Times New Roman" w:hAnsi="Times New Roman" w:eastAsia="Times New Roman"/>
          <w:sz w:val="24"/>
        </w:rPr>
        <w:t xml:space="preserve"> = .16 for Openness, and documented a striking cultural moderation effect in which Asian samples showed markedly stronger associations (C </w:t>
      </w:r>
      <w:r>
        <w:rPr>
          <w:rFonts w:ascii="Times New Roman" w:hAnsi="Times New Roman" w:eastAsia="Times New Roman"/>
          <w:i/>
          <w:sz w:val="24"/>
        </w:rPr>
        <w:t>ρ</w:t>
      </w:r>
      <w:r>
        <w:rPr>
          <w:rFonts w:ascii="Times New Roman" w:hAnsi="Times New Roman" w:eastAsia="Times New Roman"/>
          <w:sz w:val="24"/>
        </w:rPr>
        <w:t xml:space="preserve"> = .35; A </w:t>
      </w:r>
      <w:r>
        <w:rPr>
          <w:rFonts w:ascii="Times New Roman" w:hAnsi="Times New Roman" w:eastAsia="Times New Roman"/>
          <w:i/>
          <w:sz w:val="24"/>
        </w:rPr>
        <w:t>ρ</w:t>
      </w:r>
      <w:r>
        <w:rPr>
          <w:rFonts w:ascii="Times New Roman" w:hAnsi="Times New Roman" w:eastAsia="Times New Roman"/>
          <w:sz w:val="24"/>
        </w:rPr>
        <w:t xml:space="preserve"> = .23;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ρ</w:t>
      </w:r>
      <w:r>
        <w:rPr>
          <w:rFonts w:ascii="Times New Roman" w:hAnsi="Times New Roman" w:eastAsia="Times New Roman"/>
          <w:sz w:val="24"/>
        </w:rPr>
        <w:t xml:space="preserve"> = −.19). Meyer et al. (2023), focusing exclusively on K-12 samples (110 samples, </w:t>
      </w:r>
      <w:r>
        <w:rPr>
          <w:rFonts w:ascii="Times New Roman" w:hAnsi="Times New Roman" w:eastAsia="Times New Roman"/>
          <w:i/>
          <w:sz w:val="24"/>
        </w:rPr>
        <w:t>N</w:t>
      </w:r>
      <w:r>
        <w:rPr>
          <w:rFonts w:ascii="Times New Roman" w:hAnsi="Times New Roman" w:eastAsia="Times New Roman"/>
          <w:sz w:val="24"/>
        </w:rPr>
        <w:t xml:space="preserve"> = 500,218), obtained even larger estimates (C </w:t>
      </w:r>
      <w:r>
        <w:rPr>
          <w:rFonts w:ascii="Times New Roman" w:hAnsi="Times New Roman" w:eastAsia="Times New Roman"/>
          <w:i/>
          <w:sz w:val="24"/>
        </w:rPr>
        <w:t>ρ</w:t>
      </w:r>
      <w:r>
        <w:rPr>
          <w:rFonts w:ascii="Times New Roman" w:hAnsi="Times New Roman" w:eastAsia="Times New Roman"/>
          <w:sz w:val="24"/>
        </w:rPr>
        <w:t xml:space="preserve"> = .24; O </w:t>
      </w:r>
      <w:r>
        <w:rPr>
          <w:rFonts w:ascii="Times New Roman" w:hAnsi="Times New Roman" w:eastAsia="Times New Roman"/>
          <w:i/>
          <w:sz w:val="24"/>
        </w:rPr>
        <w:t>ρ</w:t>
      </w:r>
      <w:r>
        <w:rPr>
          <w:rFonts w:ascii="Times New Roman" w:hAnsi="Times New Roman" w:eastAsia="Times New Roman"/>
          <w:sz w:val="24"/>
        </w:rPr>
        <w:t xml:space="preserve"> = .21) and identified domain specificity as a critical moderator: Openness was substantially stronger for language than for STEM domains, while Conscientiousness effects were larger for grades than for standardized tests. This latter finding was theorized under the Personality-Achievement Saturation Hypothesis (PASH), which posits that the behavioral signals captured by Conscientiousness (e.g., on-task engagement, homework completion) are more visible to teachers assigning grades than to standardized test scorers. Zell and Lesick (2022), in a second-order synthesis of 54 meta-analyses, confirmed the stability of these effects, with academic-specific estimates of C </w:t>
      </w:r>
      <w:r>
        <w:rPr>
          <w:rFonts w:ascii="Times New Roman" w:hAnsi="Times New Roman" w:eastAsia="Times New Roman"/>
          <w:i/>
          <w:sz w:val="24"/>
        </w:rPr>
        <w:t>ρ</w:t>
      </w:r>
      <w:r>
        <w:rPr>
          <w:rFonts w:ascii="Times New Roman" w:hAnsi="Times New Roman" w:eastAsia="Times New Roman"/>
          <w:sz w:val="24"/>
        </w:rPr>
        <w:t xml:space="preserve"> = .28 and E </w:t>
      </w:r>
      <w:r>
        <w:rPr>
          <w:rFonts w:ascii="Times New Roman" w:hAnsi="Times New Roman" w:eastAsia="Times New Roman"/>
          <w:i/>
          <w:sz w:val="24"/>
        </w:rPr>
        <w:t>ρ</w:t>
      </w:r>
      <w:r>
        <w:rPr>
          <w:rFonts w:ascii="Times New Roman" w:hAnsi="Times New Roman" w:eastAsia="Times New Roman"/>
          <w:sz w:val="24"/>
        </w:rPr>
        <w:t xml:space="preserve"> = −.01. Most recently, Chen et al. (2025), examining 84 articles and 370 independent correlations restricted to university students with samples of at least 200 participants, reported somewhat smaller estimates (C </w:t>
      </w:r>
      <w:r>
        <w:rPr>
          <w:rFonts w:ascii="Times New Roman" w:hAnsi="Times New Roman" w:eastAsia="Times New Roman"/>
          <w:i/>
          <w:sz w:val="24"/>
        </w:rPr>
        <w:t>r</w:t>
      </w:r>
      <w:r>
        <w:rPr>
          <w:rFonts w:ascii="Times New Roman" w:hAnsi="Times New Roman" w:eastAsia="Times New Roman"/>
          <w:sz w:val="24"/>
        </w:rPr>
        <w:t xml:space="preserve"> = .206; O </w:t>
      </w:r>
      <w:r>
        <w:rPr>
          <w:rFonts w:ascii="Times New Roman" w:hAnsi="Times New Roman" w:eastAsia="Times New Roman"/>
          <w:i/>
          <w:sz w:val="24"/>
        </w:rPr>
        <w:t>r</w:t>
      </w:r>
      <w:r>
        <w:rPr>
          <w:rFonts w:ascii="Times New Roman" w:hAnsi="Times New Roman" w:eastAsia="Times New Roman"/>
          <w:sz w:val="24"/>
        </w:rPr>
        <w:t xml:space="preserve"> = .081; A </w:t>
      </w:r>
      <w:r>
        <w:rPr>
          <w:rFonts w:ascii="Times New Roman" w:hAnsi="Times New Roman" w:eastAsia="Times New Roman"/>
          <w:i/>
          <w:sz w:val="24"/>
        </w:rPr>
        <w:t>r</w:t>
      </w:r>
      <w:r>
        <w:rPr>
          <w:rFonts w:ascii="Times New Roman" w:hAnsi="Times New Roman" w:eastAsia="Times New Roman"/>
          <w:sz w:val="24"/>
        </w:rPr>
        <w:t xml:space="preserve"> = .082; E </w:t>
      </w:r>
      <w:r>
        <w:rPr>
          <w:rFonts w:ascii="Times New Roman" w:hAnsi="Times New Roman" w:eastAsia="Times New Roman"/>
          <w:i/>
          <w:sz w:val="24"/>
        </w:rPr>
        <w:t>r</w:t>
      </w:r>
      <w:r>
        <w:rPr>
          <w:rFonts w:ascii="Times New Roman" w:hAnsi="Times New Roman" w:eastAsia="Times New Roman"/>
          <w:sz w:val="24"/>
        </w:rPr>
        <w:t xml:space="preserve"> = −.009;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r</w:t>
      </w:r>
      <w:r>
        <w:rPr>
          <w:rFonts w:ascii="Times New Roman" w:hAnsi="Times New Roman" w:eastAsia="Times New Roman"/>
          <w:sz w:val="24"/>
        </w:rPr>
        <w:t xml:space="preserve"> = −.029), consistent with the idea that stricter methodological inclusion criteria attenuate apparent trait-performance relationships.</w:t>
      </w:r>
    </w:p>
    <w:p>
      <w:pPr>
        <w:spacing w:line="480" w:lineRule="auto" w:before="0" w:after="0"/>
        <w:ind w:firstLine="720"/>
      </w:pPr>
      <w:r>
        <w:rPr>
          <w:rFonts w:ascii="Times New Roman" w:hAnsi="Times New Roman" w:eastAsia="Times New Roman"/>
          <w:sz w:val="24"/>
        </w:rPr>
        <w:t>Across these eight meta-analyses, a convergent picture emerges: Conscientiousness is the dominant correlate of academic achievement (</w:t>
      </w:r>
      <w:r>
        <w:rPr>
          <w:rFonts w:ascii="Times New Roman" w:hAnsi="Times New Roman" w:eastAsia="Times New Roman"/>
          <w:i/>
          <w:sz w:val="24"/>
        </w:rPr>
        <w:t>ρ</w:t>
      </w:r>
      <w:r>
        <w:rPr>
          <w:rFonts w:ascii="Times New Roman" w:hAnsi="Times New Roman" w:eastAsia="Times New Roman"/>
          <w:sz w:val="24"/>
        </w:rPr>
        <w:t xml:space="preserve"> = .19 to .28), with Openness serving as a reliable secondary correlate (</w:t>
      </w:r>
      <w:r>
        <w:rPr>
          <w:rFonts w:ascii="Times New Roman" w:hAnsi="Times New Roman" w:eastAsia="Times New Roman"/>
          <w:i/>
          <w:sz w:val="24"/>
        </w:rPr>
        <w:t>ρ</w:t>
      </w:r>
      <w:r>
        <w:rPr>
          <w:rFonts w:ascii="Times New Roman" w:hAnsi="Times New Roman" w:eastAsia="Times New Roman"/>
          <w:sz w:val="24"/>
        </w:rPr>
        <w:t xml:space="preserve"> = .07 to .21). Agreeableness exhibits small positive effects (</w:t>
      </w:r>
      <w:r>
        <w:rPr>
          <w:rFonts w:ascii="Times New Roman" w:hAnsi="Times New Roman" w:eastAsia="Times New Roman"/>
          <w:i/>
          <w:sz w:val="24"/>
        </w:rPr>
        <w:t>ρ</w:t>
      </w:r>
      <w:r>
        <w:rPr>
          <w:rFonts w:ascii="Times New Roman" w:hAnsi="Times New Roman" w:eastAsia="Times New Roman"/>
          <w:sz w:val="24"/>
        </w:rPr>
        <w:t xml:space="preserve"> = .04 to .10), and Extraversion and Neuroticism are generally near zero in academic contexts, although both may show meaningful directional effects under specific moderators. Critically, however, none of these eight meta-analyses has tested learning modality—online, blended, face-to-face, or MOOC—as a moderator. The samples pooled in these syntheses were drawn almost entirely from traditional classroom contexts, or from contexts in which delivery modality was not reported.</w:t>
      </w:r>
    </w:p>
    <w:p>
      <w:pPr>
        <w:pStyle w:val="Heading2"/>
        <w:spacing w:line="480" w:lineRule="auto" w:before="0" w:after="0"/>
      </w:pPr>
      <w:r>
        <w:t>The Shift to Online Learning Environments</w:t>
      </w:r>
    </w:p>
    <w:p>
      <w:pPr>
        <w:spacing w:line="480" w:lineRule="auto" w:before="0" w:after="0"/>
        <w:ind w:firstLine="720"/>
      </w:pPr>
      <w:r>
        <w:rPr>
          <w:rFonts w:ascii="Times New Roman" w:hAnsi="Times New Roman" w:eastAsia="Times New Roman"/>
          <w:sz w:val="24"/>
        </w:rPr>
        <w:t>Online learning environments differ from face-to-face instruction along at least four dimensions that have theoretical implications for the personality-achievement relationship. First, online environments impose heightened self-regulation demands on learners, who must manage their own time, attention, and task sequencing without the physical and social scaffolding provided by a traditional classroom (Broadbent &amp; Poon, 2015). This demand is likely to amplify the importance of Conscientiousness, and particularly its industriousness and orderliness facets, for academic success. Second, online environments reduce social presence: learners interact with instructors and peers through mediated channels, often asynchronously, and the rich nonverbal cues of in-person interaction are absent or attenuated. This reduction in social presence may alter the role of Extraversion, which in face-to-face contexts is weakly but positively associated with classroom participation and instructor rapport, but which may become irrelevant or even counterproductive in asynchronous environments where social interaction is limited. Third, online environments afford greater temporal flexibility, which can either support self-directed learning or, conversely, facilitate procrastination (Cheng et al., 2023). Finally, online environments are technology-mediated, requiring engagement with novel digital platforms, learning management systems, and assessment tools; this technological novelty may engage Openness to Experience more strongly than in conventional classrooms, where instructional technology is more routine.</w:t>
      </w:r>
    </w:p>
    <w:p>
      <w:pPr>
        <w:spacing w:line="480" w:lineRule="auto" w:before="0" w:after="0"/>
        <w:ind w:firstLine="720"/>
      </w:pPr>
      <w:r>
        <w:rPr>
          <w:rFonts w:ascii="Times New Roman" w:hAnsi="Times New Roman" w:eastAsia="Times New Roman"/>
          <w:sz w:val="24"/>
        </w:rPr>
        <w:t xml:space="preserve">These four dimensions—self-regulation demands, reduced social presence, temporal flexibility, and technology mediation—motivate specific expectations about how the personality-achievement relationship should differ in online as compared with face-to-face contexts. In particular, if the meta-analytic Conscientiousness effect of approximately </w:t>
      </w:r>
      <w:r>
        <w:rPr>
          <w:rFonts w:ascii="Times New Roman" w:hAnsi="Times New Roman" w:eastAsia="Times New Roman"/>
          <w:i/>
          <w:sz w:val="24"/>
        </w:rPr>
        <w:t>ρ</w:t>
      </w:r>
      <w:r>
        <w:rPr>
          <w:rFonts w:ascii="Times New Roman" w:hAnsi="Times New Roman" w:eastAsia="Times New Roman"/>
          <w:sz w:val="24"/>
        </w:rPr>
        <w:t xml:space="preserve"> = .22–.27 reflects, in part, the benefits of organized study behavior in conventional classrooms, then the same effect should be at least as large in online environments, where self-regulation is more demanding. Openness may become more strongly predictive in online environments because of the premium placed on self-directed exploration of digital resources. Extraversion, conversely, may shift toward a null or negative association if the social rewards that sustain extraverted engagement are absent. Neuroticism may be more negatively associated with achievement in online environments because isolation and technology-related stressors disproportionately affect anxious learners. These expectations are theoretically motivated, but they have not been systematically evaluated against quantitative evidence.</w:t>
      </w:r>
    </w:p>
    <w:p>
      <w:pPr>
        <w:pStyle w:val="Heading2"/>
        <w:spacing w:line="480" w:lineRule="auto" w:before="0" w:after="0"/>
      </w:pPr>
      <w:r>
        <w:t>Big Five Personality Traits in Online Learning: Fragmented Evidence</w:t>
      </w:r>
    </w:p>
    <w:p>
      <w:pPr>
        <w:spacing w:line="480" w:lineRule="auto" w:before="0" w:after="0"/>
        <w:ind w:firstLine="720"/>
      </w:pPr>
      <w:r>
        <w:rPr>
          <w:rFonts w:ascii="Times New Roman" w:hAnsi="Times New Roman" w:eastAsia="Times New Roman"/>
          <w:sz w:val="24"/>
        </w:rPr>
        <w:t>Individual primary studies of the Big Five and academic achievement in online learning have accumulated in substantial numbers since approximately 2018, with a marked acceleration during the COVID-19 pandemic (2020–2022). The preliminary narrative synthesis most closely related to the present review is Hunter et al. (2025), who systematically screened 848 records from 2000 to June 2024 and included 23 primary studies. Their review documented a consistent positive association between Conscientiousness and online achievement (observed in 3 of 5 studies reporting GPA-type outcomes), negative associations with Neuroticism (in 3 of 5 studies), and essentially null associations with Extraversion (in all 5 studies). However, Hunter et al. (2025) explicitly did not pool effect sizes quantitatively, and the level-of-evidence rating for all 23 included studies was Level IV (low strength), precluding inferences about the magnitude or moderators of the observed associations.</w:t>
      </w:r>
    </w:p>
    <w:p>
      <w:pPr>
        <w:spacing w:line="480" w:lineRule="auto" w:before="0" w:after="0"/>
        <w:ind w:firstLine="720"/>
      </w:pPr>
      <w:r>
        <w:rPr>
          <w:rFonts w:ascii="Times New Roman" w:hAnsi="Times New Roman" w:eastAsia="Times New Roman"/>
          <w:sz w:val="24"/>
        </w:rPr>
        <w:t>Examining the primary literature directly reveals considerable heterogeneity in reported effect sizes. In fully online asynchronous contexts, Abe (2020) reported strong correlations between Conscientiousness and both quiz performance (</w:t>
      </w:r>
      <w:r>
        <w:rPr>
          <w:rFonts w:ascii="Times New Roman" w:hAnsi="Times New Roman" w:eastAsia="Times New Roman"/>
          <w:i/>
          <w:sz w:val="24"/>
        </w:rPr>
        <w:t>r</w:t>
      </w:r>
      <w:r>
        <w:rPr>
          <w:rFonts w:ascii="Times New Roman" w:hAnsi="Times New Roman" w:eastAsia="Times New Roman"/>
          <w:sz w:val="24"/>
        </w:rPr>
        <w:t xml:space="preserve"> = .48) and paper grades (</w:t>
      </w:r>
      <w:r>
        <w:rPr>
          <w:rFonts w:ascii="Times New Roman" w:hAnsi="Times New Roman" w:eastAsia="Times New Roman"/>
          <w:i/>
          <w:sz w:val="24"/>
        </w:rPr>
        <w:t>r</w:t>
      </w:r>
      <w:r>
        <w:rPr>
          <w:rFonts w:ascii="Times New Roman" w:hAnsi="Times New Roman" w:eastAsia="Times New Roman"/>
          <w:sz w:val="24"/>
        </w:rPr>
        <w:t xml:space="preserve"> = .37), with Openness also correlated with paper grades (</w:t>
      </w:r>
      <w:r>
        <w:rPr>
          <w:rFonts w:ascii="Times New Roman" w:hAnsi="Times New Roman" w:eastAsia="Times New Roman"/>
          <w:i/>
          <w:sz w:val="24"/>
        </w:rPr>
        <w:t>r</w:t>
      </w:r>
      <w:r>
        <w:rPr>
          <w:rFonts w:ascii="Times New Roman" w:hAnsi="Times New Roman" w:eastAsia="Times New Roman"/>
          <w:sz w:val="24"/>
        </w:rPr>
        <w:t xml:space="preserve"> = .35). Alkış and Taşkaya Temizel (2018), comparing online and blended sections of the same course, found Conscientiousness to correlate with course grades in both modalities (online </w:t>
      </w:r>
      <w:r>
        <w:rPr>
          <w:rFonts w:ascii="Times New Roman" w:hAnsi="Times New Roman" w:eastAsia="Times New Roman"/>
          <w:i/>
          <w:sz w:val="24"/>
        </w:rPr>
        <w:t>r</w:t>
      </w:r>
      <w:r>
        <w:rPr>
          <w:rFonts w:ascii="Times New Roman" w:hAnsi="Times New Roman" w:eastAsia="Times New Roman"/>
          <w:sz w:val="24"/>
        </w:rPr>
        <w:t xml:space="preserve"> = .205; blended </w:t>
      </w:r>
      <w:r>
        <w:rPr>
          <w:rFonts w:ascii="Times New Roman" w:hAnsi="Times New Roman" w:eastAsia="Times New Roman"/>
          <w:i/>
          <w:sz w:val="24"/>
        </w:rPr>
        <w:t>r</w:t>
      </w:r>
      <w:r>
        <w:rPr>
          <w:rFonts w:ascii="Times New Roman" w:hAnsi="Times New Roman" w:eastAsia="Times New Roman"/>
          <w:sz w:val="24"/>
        </w:rPr>
        <w:t xml:space="preserve"> = .244), with other traits exhibiting only null effects. In the COVID-era German higher education context, Rodrigues et al. (2024) reported a moderate negative correlation between Conscientiousness and self-reported GPA (</w:t>
      </w:r>
      <w:r>
        <w:rPr>
          <w:rFonts w:ascii="Times New Roman" w:hAnsi="Times New Roman" w:eastAsia="Times New Roman"/>
          <w:i/>
          <w:sz w:val="24"/>
        </w:rPr>
        <w:t>r</w:t>
      </w:r>
      <w:r>
        <w:rPr>
          <w:rFonts w:ascii="Times New Roman" w:hAnsi="Times New Roman" w:eastAsia="Times New Roman"/>
          <w:sz w:val="24"/>
        </w:rPr>
        <w:t xml:space="preserve"> = −.228 with grades coded such that lower values indicate better performance), and significant negative associations between Neuroticism and study satisfaction and well-being. Rivers (2021), studying Japanese undergraduates in an asynchronous Moodle course (</w:t>
      </w:r>
      <w:r>
        <w:rPr>
          <w:rFonts w:ascii="Times New Roman" w:hAnsi="Times New Roman" w:eastAsia="Times New Roman"/>
          <w:i/>
          <w:sz w:val="24"/>
        </w:rPr>
        <w:t>N</w:t>
      </w:r>
      <w:r>
        <w:rPr>
          <w:rFonts w:ascii="Times New Roman" w:hAnsi="Times New Roman" w:eastAsia="Times New Roman"/>
          <w:sz w:val="24"/>
        </w:rPr>
        <w:t xml:space="preserve"> = 149), reported a direct negative effect of Extraversion on course achievement (</w:t>
      </w:r>
      <w:r>
        <w:rPr>
          <w:rFonts w:ascii="Times New Roman" w:hAnsi="Times New Roman" w:eastAsia="Times New Roman"/>
          <w:i/>
          <w:sz w:val="24"/>
        </w:rPr>
        <w:t>β</w:t>
      </w:r>
      <w:r>
        <w:rPr>
          <w:rFonts w:ascii="Times New Roman" w:hAnsi="Times New Roman" w:eastAsia="Times New Roman"/>
          <w:sz w:val="24"/>
        </w:rPr>
        <w:t xml:space="preserve"> = −.168, </w:t>
      </w:r>
      <w:r>
        <w:rPr>
          <w:rFonts w:ascii="Times New Roman" w:hAnsi="Times New Roman" w:eastAsia="Times New Roman"/>
          <w:i/>
          <w:sz w:val="24"/>
        </w:rPr>
        <w:t>p</w:t>
      </w:r>
      <w:r>
        <w:rPr>
          <w:rFonts w:ascii="Times New Roman" w:hAnsi="Times New Roman" w:eastAsia="Times New Roman"/>
          <w:sz w:val="24"/>
        </w:rPr>
        <w:t xml:space="preserve"> &lt; .01), consistent with the mapping prior that social-cue deprivation in asynchronous environments disadvantages extraverted learners.</w:t>
      </w:r>
    </w:p>
    <w:p>
      <w:pPr>
        <w:spacing w:line="480" w:lineRule="auto" w:before="0" w:after="0"/>
        <w:ind w:firstLine="720"/>
      </w:pPr>
      <w:r>
        <w:rPr>
          <w:rFonts w:ascii="Times New Roman" w:hAnsi="Times New Roman" w:eastAsia="Times New Roman"/>
          <w:sz w:val="24"/>
        </w:rPr>
        <w:t xml:space="preserve">Other primary studies reveal patterns that diverge from conventional face-to-face findings. In a large Chinese K-12 sample studied by Wang, Wang, and Li (2023; </w:t>
      </w:r>
      <w:r>
        <w:rPr>
          <w:rFonts w:ascii="Times New Roman" w:hAnsi="Times New Roman" w:eastAsia="Times New Roman"/>
          <w:i/>
          <w:sz w:val="24"/>
        </w:rPr>
        <w:t>N</w:t>
      </w:r>
      <w:r>
        <w:rPr>
          <w:rFonts w:ascii="Times New Roman" w:hAnsi="Times New Roman" w:eastAsia="Times New Roman"/>
          <w:sz w:val="24"/>
        </w:rPr>
        <w:t xml:space="preserve"> = 1,625), Big Five traits were associated with academic achievement only indirectly through online learning engagement, with Conscientiousness (</w:t>
      </w:r>
      <w:r>
        <w:rPr>
          <w:rFonts w:ascii="Times New Roman" w:hAnsi="Times New Roman" w:eastAsia="Times New Roman"/>
          <w:i/>
          <w:sz w:val="24"/>
        </w:rPr>
        <w:t>β</w:t>
      </w:r>
      <w:r>
        <w:rPr>
          <w:rFonts w:ascii="Times New Roman" w:hAnsi="Times New Roman" w:eastAsia="Times New Roman"/>
          <w:sz w:val="24"/>
        </w:rPr>
        <w:t xml:space="preserve"> = .322) and Openness (</w:t>
      </w:r>
      <w:r>
        <w:rPr>
          <w:rFonts w:ascii="Times New Roman" w:hAnsi="Times New Roman" w:eastAsia="Times New Roman"/>
          <w:i/>
          <w:sz w:val="24"/>
        </w:rPr>
        <w:t>β</w:t>
      </w:r>
      <w:r>
        <w:rPr>
          <w:rFonts w:ascii="Times New Roman" w:hAnsi="Times New Roman" w:eastAsia="Times New Roman"/>
          <w:sz w:val="24"/>
        </w:rPr>
        <w:t xml:space="preserve"> = .253) serving as the strongest correlates of engagement. Yu (2021), in a Chinese MOOC platform sample (</w:t>
      </w:r>
      <w:r>
        <w:rPr>
          <w:rFonts w:ascii="Times New Roman" w:hAnsi="Times New Roman" w:eastAsia="Times New Roman"/>
          <w:i/>
          <w:sz w:val="24"/>
        </w:rPr>
        <w:t>N</w:t>
      </w:r>
      <w:r>
        <w:rPr>
          <w:rFonts w:ascii="Times New Roman" w:hAnsi="Times New Roman" w:eastAsia="Times New Roman"/>
          <w:sz w:val="24"/>
        </w:rPr>
        <w:t xml:space="preserve"> = 1,152), reported that Agreeableness (</w:t>
      </w:r>
      <w:r>
        <w:rPr>
          <w:rFonts w:ascii="Times New Roman" w:hAnsi="Times New Roman" w:eastAsia="Times New Roman"/>
          <w:i/>
          <w:sz w:val="24"/>
        </w:rPr>
        <w:t>β</w:t>
      </w:r>
      <w:r>
        <w:rPr>
          <w:rFonts w:ascii="Times New Roman" w:hAnsi="Times New Roman" w:eastAsia="Times New Roman"/>
          <w:sz w:val="24"/>
        </w:rPr>
        <w:t xml:space="preserve"> = .442) and Openness (</w:t>
      </w:r>
      <w:r>
        <w:rPr>
          <w:rFonts w:ascii="Times New Roman" w:hAnsi="Times New Roman" w:eastAsia="Times New Roman"/>
          <w:i/>
          <w:sz w:val="24"/>
        </w:rPr>
        <w:t>β</w:t>
      </w:r>
      <w:r>
        <w:rPr>
          <w:rFonts w:ascii="Times New Roman" w:hAnsi="Times New Roman" w:eastAsia="Times New Roman"/>
          <w:sz w:val="24"/>
        </w:rPr>
        <w:t xml:space="preserve"> = .305) were stronger correlates of objective MOOC composite scores than Conscientiousness (</w:t>
      </w:r>
      <w:r>
        <w:rPr>
          <w:rFonts w:ascii="Times New Roman" w:hAnsi="Times New Roman" w:eastAsia="Times New Roman"/>
          <w:i/>
          <w:sz w:val="24"/>
        </w:rPr>
        <w:t>β</w:t>
      </w:r>
      <w:r>
        <w:rPr>
          <w:rFonts w:ascii="Times New Roman" w:hAnsi="Times New Roman" w:eastAsia="Times New Roman"/>
          <w:sz w:val="24"/>
        </w:rPr>
        <w:t xml:space="preserve"> = .057), suggesting that cooperative behaviors and novelty orientation may be especially salient in Chinese collectivistic contexts (cf. Mammadov, 2022; Chen et al., 2025). Bahçekapılı and Karaman (2020), in a Turkish distance-education context (</w:t>
      </w:r>
      <w:r>
        <w:rPr>
          <w:rFonts w:ascii="Times New Roman" w:hAnsi="Times New Roman" w:eastAsia="Times New Roman"/>
          <w:i/>
          <w:sz w:val="24"/>
        </w:rPr>
        <w:t>N</w:t>
      </w:r>
      <w:r>
        <w:rPr>
          <w:rFonts w:ascii="Times New Roman" w:hAnsi="Times New Roman" w:eastAsia="Times New Roman"/>
          <w:sz w:val="24"/>
        </w:rPr>
        <w:t xml:space="preserve"> = 525), found that all five Big Five traits exhibited non-significant direct correlations with GPA, with their effects fully mediated through self-efficacy and external locus of control.</w:t>
      </w:r>
    </w:p>
    <w:p>
      <w:pPr>
        <w:spacing w:line="480" w:lineRule="auto" w:before="0" w:after="0"/>
        <w:ind w:firstLine="720"/>
      </w:pPr>
      <w:r>
        <w:rPr>
          <w:rFonts w:ascii="Times New Roman" w:hAnsi="Times New Roman" w:eastAsia="Times New Roman"/>
          <w:sz w:val="24"/>
        </w:rPr>
        <w:t>In aggregate, this primary literature suggests that the Conscientiousness-achievement link observed in face-to-face contexts is generally preserved in online settings, but that (a) the magnitude of the effect varies widely across samples, (b) the role of Extraversion may shift in theoretically predictable directions when social cues are attenuated, and (c) Openness and Agreeableness effects may be amplified in specific cultural or disciplinary contexts. However, these primary studies vary substantially in sample composition, modality (fully online, blended, synchronous, asynchronous, MOOC), measurement instruments (BFI, BFI-2, BFI-S, NEO-FFI, IPIP, HEXACO, TIPI), outcome operationalizations (GPA, course grades, standardized exams, LMS behavior, composite scores), and era (pre-COVID, COVID, post-COVID). Without a quantitative synthesis, it is not possible to determine whether these apparent heterogeneities reflect true moderator effects, sampling noise, or methodological artifacts.</w:t>
      </w:r>
    </w:p>
    <w:p>
      <w:pPr>
        <w:pStyle w:val="Heading2"/>
        <w:spacing w:line="480" w:lineRule="auto" w:before="0" w:after="0"/>
      </w:pPr>
      <w:r>
        <w:t>Potential Moderators of the Personality-Achievement Association in Online Contexts</w:t>
      </w:r>
    </w:p>
    <w:p>
      <w:pPr>
        <w:spacing w:line="480" w:lineRule="auto" w:before="0" w:after="0"/>
        <w:ind w:firstLine="720"/>
      </w:pPr>
      <w:r>
        <w:rPr>
          <w:rFonts w:ascii="Times New Roman" w:hAnsi="Times New Roman" w:eastAsia="Times New Roman"/>
          <w:sz w:val="24"/>
        </w:rPr>
        <w:t>Several moderators are theoretically and empirically motivated for the present review. First, learning modality itself—fully online, blended, MOOC, synchronous online, asynchronous online—may moderate the personality-achievement association because the four dimensions of online learning identified above vary in intensity across modalities. Second, education level (K-12, undergraduate, graduate, adult) has been shown to moderate personality-achievement relationships in face-to-face contexts (Mammadov, 2022; Meyer et al., 2023), with Openness effects declining across the educational trajectory while Conscientiousness effects remain stable; whether this pattern holds in online contexts is unknown. Third, region and cultural context may moderate effects: Mammadov (2022) and Chen et al. (2025) both reported amplified Conscientiousness and Agreeableness effects in East Asian and other collectivistic samples, and Chen et al. (2025) additionally reported that Extraversion is significantly negative in individualistic contexts but null in collectivistic contexts. Fourth, the COVID-19 era may constitute a meaningful moderator: pre-COVID online learning was typically self-selected and involved learners with strong motivation for online study, whereas COVID-era online learning was imposed on all learners regardless of preference, and post-COVID online learning reflects a mixture of voluntary and mandatory adoption. Fifth, the choice of personality instrument (BFI, NEO-FFI, IPIP, HEXACO, TIPI) has been shown by McAbee and Oswald (2013) to moderate Conscientiousness estimates, with short-form instruments (e.g., Mini-Markers, TIPI) yielding smaller effects; this moderator is particularly relevant for the present review because online studies more frequently use short-form instruments than traditional paper-and-pencil contexts.</w:t>
      </w:r>
    </w:p>
    <w:p>
      <w:pPr>
        <w:pStyle w:val="Heading2"/>
        <w:spacing w:line="480" w:lineRule="auto" w:before="0" w:after="0"/>
      </w:pPr>
      <w:r>
        <w:t>The Present Study</w:t>
      </w:r>
    </w:p>
    <w:p>
      <w:pPr>
        <w:spacing w:line="480" w:lineRule="auto" w:before="0" w:after="0"/>
        <w:ind w:firstLine="720"/>
      </w:pPr>
      <w:r>
        <w:rPr>
          <w:rFonts w:ascii="Times New Roman" w:hAnsi="Times New Roman" w:eastAsia="Times New Roman"/>
          <w:sz w:val="24"/>
        </w:rPr>
        <w:t>The present scoping review with exploratory quantitative synthesis is, to our knowledge, the first scoping mapping of the association between Big Five personality traits and academic achievement that focuses specifically on online learning environments. Consistent with PRISMA-ScR convention (Tricco et al., 2018), the review is organised around mapping questions and directional priors rather than around hypothesis tests. Three mapping questions are addressed. First (MQ1), how large is the available pooled estimate of the association between each Big Five trait and academic achievement in online learning environments within the mappable evidence base, and how does this estimate compare with published face-to-face benchmarks? Second (MQ2), does the association vary descriptively across learning modality, education level, region, era, outcome type, and personality instrument within the mappable evidence base? Third (MQ3), is the personality-achievement association in online environments fully accounted for by mediating constructs such as self-efficacy and self-regulation, or does it exhibit direct effects beyond these mediators? Because the evidence base is small and the executed search is incomplete relative to the pre-registered information-source plan, all three mapping questions are addressed descriptively rather than as confirmatory tests.</w:t>
      </w:r>
    </w:p>
    <w:p>
      <w:pPr>
        <w:spacing w:line="480" w:lineRule="auto" w:before="0" w:after="0"/>
        <w:ind w:firstLine="720"/>
      </w:pPr>
      <w:r>
        <w:rPr>
          <w:rFonts w:ascii="Times New Roman" w:hAnsi="Times New Roman" w:eastAsia="Times New Roman"/>
          <w:sz w:val="24"/>
        </w:rPr>
        <w:t xml:space="preserve">Five directional priors, pre-specified in the OSF registration (https://osf.io/e5w47/) as hypotheses, are reframed here as mapping priors (MP1 through MP5) that describe expectations against which the mapped evidence can be compared descriptively. Mapping Prior 1 (MP1) states that Conscientiousness is expected to show the strongest positive pooled correlation with academic achievement in online learning environments, with an expected pooled </w:t>
      </w:r>
      <w:r>
        <w:rPr>
          <w:rFonts w:ascii="Times New Roman" w:hAnsi="Times New Roman" w:eastAsia="Times New Roman"/>
          <w:i/>
          <w:sz w:val="24"/>
        </w:rPr>
        <w:t>ρ</w:t>
      </w:r>
      <w:r>
        <w:rPr>
          <w:rFonts w:ascii="Times New Roman" w:hAnsi="Times New Roman" w:eastAsia="Times New Roman"/>
          <w:sz w:val="24"/>
        </w:rPr>
        <w:t xml:space="preserve"> of .20 to .35, consistent with the face-to-face benchmarks reviewed above and potentially amplified in Asian samples. Mapping Prior 2 (MP2) states that Openness is expected to show the second-strongest positive correlation, potentially stronger than in face-to-face contexts, reflecting the premium placed on self-directed exploration in online environments. Mapping Prior 3 (MP3) states that Agreeableness is expected to show a small positive correlation, potentially weaker than in face-to-face contexts because cooperative group behaviors are less central in asynchronous online environments. Mapping Prior 4 (MP4) states that Neuroticism is expected to show a negative correlation, more pronounced in fully online than in blended modalities, reflecting the isolating and technology-mediated nature of fully online environments. Mapping Prior 5 (MP5) states that Extraversion is expected to show a null or weak negative correlation, with possible facet-level cancellation between sociability (expected negative) and assertiveness (expected positive) components, reflecting the reduced social presence of online environments. Mapping Priors MP2, MP4, and MP5 constitute the modality-specific contribution of this review, as they describe expected modality-related divergences from established patterns observed in face-to-face meta-analyses; the review evaluates the available evidence descriptively against these priors rather than performing formal hypothesis tests.</w:t>
      </w:r>
    </w:p>
    <w:p>
      <w:pPr>
        <w:spacing w:line="480" w:lineRule="auto" w:before="0" w:after="0"/>
        <w:ind w:firstLine="720"/>
      </w:pPr>
      <w:r>
        <w:rPr>
          <w:rFonts w:ascii="Times New Roman" w:hAnsi="Times New Roman" w:eastAsia="Times New Roman"/>
          <w:sz w:val="24"/>
        </w:rPr>
        <w:t>A null result for any of these hypotheses would itself be informative, indicating that online and face-to-face personality-achievement relationships are equivalent in the corresponding dimension. The present review therefore offers , to the author's knowledge, the first scoping evaluation of whether personality operates differently across learning modalities, and provides a necessary empirical foundation for both theoretical refinement and evidence-informed educational practice in the post-pandemic era.</w:t>
      </w:r>
    </w:p>
    <w:p>
      <w:pPr>
        <w:pStyle w:val="Heading1"/>
        <w:spacing w:line="480" w:lineRule="auto" w:before="0" w:after="0"/>
      </w:pPr>
      <w:r>
        <w:t>Methods</w:t>
      </w:r>
    </w:p>
    <w:p>
      <w:pPr>
        <w:pStyle w:val="Heading2"/>
        <w:spacing w:line="480" w:lineRule="auto" w:before="0" w:after="0"/>
      </w:pPr>
      <w:r>
        <w:t>Pre-registration and Reporting Standards</w:t>
      </w:r>
    </w:p>
    <w:p>
      <w:pPr>
        <w:spacing w:line="480" w:lineRule="auto" w:before="0" w:after="0"/>
        <w:ind w:firstLine="720"/>
      </w:pPr>
      <w:r>
        <w:rPr>
          <w:rFonts w:ascii="Times New Roman" w:hAnsi="Times New Roman" w:eastAsia="Times New Roman"/>
          <w:sz w:val="24"/>
        </w:rPr>
        <w:t>The protocol for this scoping review with exploratory quantitative synthesis was pre-registered on OSF Registries (https://osf.io/e5w47/; DOI: 10.17605/OSF.IO/E5W47) on April 23, 2026, prior to the formal database search and quantitative synthesis. The registration template used was OSF Preregistration, with the full protocol structured according to the Preferred Reporting Items for Scoping Review with Exploratory Quantitative Synthesis Protocols (PRISMA-P) 2015 statement (Moher et al., 2015). The review was originally drafted for PROSPERO submission, but was re-routed to OSF Registries because PROSPERO requires a health-related outcome, which this educationally focused review does not satisfy. The present manuscript is reported in accordance with the PRISMA 2020 statement (Page et al., 2021), and the completed PRISMA-ScR checklist is provided as Supplementary Material on the OSF project page (https://osf.io/79m5j/). Any deviations from the pre-registered protocol are transparently disclosed in a dedicated subsection below.</w:t>
      </w:r>
    </w:p>
    <w:p>
      <w:pPr>
        <w:pStyle w:val="Heading2"/>
        <w:spacing w:line="480" w:lineRule="auto" w:before="0" w:after="0"/>
      </w:pPr>
      <w:r>
        <w:t>Eligibility Criteria</w:t>
      </w:r>
    </w:p>
    <w:p>
      <w:pPr>
        <w:spacing w:line="480" w:lineRule="auto" w:before="0" w:after="0"/>
        <w:ind w:firstLine="720"/>
      </w:pPr>
      <w:r>
        <w:rPr>
          <w:rFonts w:ascii="Times New Roman" w:hAnsi="Times New Roman" w:eastAsia="Times New Roman"/>
          <w:sz w:val="24"/>
        </w:rPr>
        <w:t>Eligibility was defined using the PICOS (Population, Intervention/Exposure, Comparator, Outcome, Study design) framework. Studies were included if they satisfied all of the following criteria. Population: students at any educational level—K-12, undergraduate, graduate, or adult learner—enrolled in an online learning environment. No geographic or demographic restrictions were applied to participants, provided that samples comprised at least 10 learners. Exposure: Big Five or HEXACO personality traits measured with a validated inventory, including the Big Five Inventory (BFI, BFI-2, BFI-44, BFI-S), the NEO Personality Inventory–Revised (NEO-PI-R) or NEO Five-Factor Inventory (NEO-FFI, NEO-FFI-3), the International Personality Item Pool (IPIP, including Mini-IPIP), the HEXACO Personality Inventory–Revised (HEXACO-PI-R, HEXACO-60), the Ten-Item Personality Inventory (TIPI, TIPI-J), or any peer-reviewed Big Five–aligned scale with published reliability. Measures based on typological frameworks (e.g., Myers-Briggs Type Indicator) or on single-trait constructs (e.g., Grit, Proactive Personality) not mappable to the Five-Factor Model were excluded. Comparator: not applicable, because the synthesis addresses observational correlational associations rather than group-comparison designs. Outcome: the primary outcome was academic achievement, operationalized as grade point average (GPA), course grade, standardized exam score, or composite learning performance score. Secondary outcomes, analyzed only if at least 10 studies reported each indicator, were academic satisfaction, academic engagement, learning-related behaviors (e.g., learning management system use, completion rate), and dropout or persistence. Study design: cross-sectional correlational, longitudinal, or prospective studies reporting sufficient statistics for effect-size extraction or conversion. Qualitative-only studies, commentary, editorial, narrative review, and single-case studies with fewer than 10 participants were excluded, although the reference lists of narrative reviews were hand-searched for original primary studies.</w:t>
      </w:r>
    </w:p>
    <w:p>
      <w:pPr>
        <w:spacing w:line="480" w:lineRule="auto" w:before="0" w:after="0"/>
        <w:ind w:firstLine="720"/>
      </w:pPr>
      <w:r>
        <w:rPr>
          <w:rFonts w:ascii="Times New Roman" w:hAnsi="Times New Roman" w:eastAsia="Times New Roman"/>
          <w:sz w:val="24"/>
        </w:rPr>
        <w:t>Studies were restricted to those published in English, in peer-reviewed journals, peer-reviewed conference proceedings, or doctoral dissertations. Unpublished manuscripts and preprints that had not undergone peer review were excluded in order to maintain a minimum quality threshold. No restriction was placed on publication year. Studies in which learners were non-human (e.g., AI agents or simulated students) were excluded, as were studies of fully face-to-face samples with no online learning component. When a study's modality status was ambiguous, the corresponding author was contacted for clarification, with up to two contact attempts separated by at least two weeks; studies for which ambiguity could not be resolved were excluded, and the exclusion reason was recorded in the flow diagram.</w:t>
      </w:r>
    </w:p>
    <w:p>
      <w:pPr>
        <w:pStyle w:val="Heading2"/>
        <w:spacing w:line="480" w:lineRule="auto" w:before="0" w:after="0"/>
      </w:pPr>
      <w:r>
        <w:t>Information Sources and Search Strategy</w:t>
      </w:r>
    </w:p>
    <w:p>
      <w:pPr>
        <w:spacing w:line="480" w:lineRule="auto" w:before="0" w:after="0"/>
        <w:ind w:firstLine="720"/>
      </w:pPr>
      <w:r>
        <w:rPr>
          <w:rFonts w:ascii="Times New Roman" w:hAnsi="Times New Roman" w:eastAsia="Times New Roman"/>
          <w:sz w:val="24"/>
        </w:rPr>
        <w:t>Scoping reviews are designed to map the available evidence on a topic — including its breadth, conceptual boundaries, methodological characteristics, and gaps — rather than to provide an exhaustive synthesis of every relevant primary study (Munn et al., 2018; Tricco et al., 2018). The information-source plan for the present scoping review was originally pre-registered as a six-database systematic search (PubMed/MEDLINE, PsycINFO, ERIC, Web of Science, Scopus, and ProQuest Dissertations &amp; Theses Global), supplemented by Google Scholar and forward/backward citation snowballing. At execution time, however, three of those databases (PsycINFO, Scopus, Web of Science) and ProQuest Dissertations require institutional subscription access that was not available, and the direct E-utilities, OpenAlex, and Semantic Scholar APIs were blocked by the execution environment's network allowlist. Individual subscriptions to the three subscription-gated providers are not offered by Clarivate, Elsevier, or the American Psychological Association, so the absence of access could not be remedied by personal purchase. The actually executed search therefore consisted of: (a) a targeted web-based search interface equivalent in coverage to Google Scholar, executed April 23, 2026, applying the pre-specified three-concept Boolean strategy split into eight queries; (b) ERIC web search; (c) targeted retrieval from open-access repositories (PubMed Central, Frontiers, MDPI, Open Praxis); and (d) forward and backward citation snowballing from included primary studies and from the eight prior face-to-face Big Five-achievement meta-analyses that constitute the comparison corpus. Reframing the review as a scoping review (in place of a systematic review) is the direct consequence of this information-source gap: the executed search is sufficient to map the visible landscape of online-modality Big Five-achievement work, but is not sufficient to claim exhaustive coverage of the underlying literature, and the review is reported accordingly. The full search log with executed query syntax, dates, and hit counts is deposited on the associated OSF project (02_search component).</w:t>
      </w:r>
    </w:p>
    <w:p>
      <w:pPr>
        <w:spacing w:line="480" w:lineRule="auto" w:before="0" w:after="0"/>
        <w:ind w:firstLine="720"/>
      </w:pPr>
      <w:r>
        <w:rPr>
          <w:rFonts w:ascii="Times New Roman" w:hAnsi="Times New Roman" w:eastAsia="Times New Roman"/>
          <w:sz w:val="24"/>
        </w:rPr>
        <w:t>The search strategy combined three concept blocks with the Boolean operator AND. Concept 1 (personality) comprised the terms "Big Five," "Five-Factor Model," "FFM," "HEXACO," "BFI," "NEO-PI-R," "NEO-FFI," "IPIP," "conscientiousness," "openness to experience," "extraversion," "agreeableness," "neuroticism," "emotional stability," and "personality traits," connected by OR. Concept 2 (online learning) comprised "online learning," "e-learning," "distance learning," "remote learning," "virtual learning," "blended learning," "hybrid learning," "MOOC," "massive open online course," "web-based learning," "computer-mediated learning," "learning management system," "LMS," "online course," "synchronous online," and "asynchronous online." Concept 3 (academic outcome) comprised "academic performance," "academic achievement," "GPA," "grade point average," "test score," "course grade," "learning outcome," "learning performance," and "academic success." Language and publication-type filters were applied post hoc during screening rather than at the database level. The complete search log, including the exact query syntax for each executed search, the date of execution, and the hit count, is deposited as a supplementary file (search_log.md) on the OSF project.</w:t>
      </w:r>
    </w:p>
    <w:p>
      <w:pPr>
        <w:spacing w:line="480" w:lineRule="auto" w:before="0" w:after="0"/>
        <w:ind w:firstLine="720"/>
      </w:pPr>
      <w:r>
        <w:rPr>
          <w:rFonts w:ascii="Times New Roman" w:hAnsi="Times New Roman" w:eastAsia="Times New Roman"/>
          <w:sz w:val="24"/>
        </w:rPr>
        <w:t>In addition to the database searches, forward citation tracking (cited-by) and backward citation tracking (reference list scanning) were performed for all studies identified as eligible, and for the eight benchmark meta-analyses that constitute the face-to-face comparison corpus (Poropat, 2009; McAbee &amp; Oswald, 2013; Vedel, 2014; Stajkovic et al., 2018; Mammadov, 2022; Zell &amp; Lesick, 2022; Meyer et al., 2023; Chen et al., 2025). Reference lists of the most directly relevant narrative review (Hunter et al., 2025) were also hand-searched.</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All retrieved records were imported into a reference manager (Zotero) and de-duplicated both automatically and by manual verification of near-duplicates. The remaining records were screened in two stages. At Stage 1, one reviewer (ET) screened titles and abstracts against the eligibility criteria. To estimate intra-rater reliability under a single-reviewer workflow, 10% of the title/abstract records were randomly re-screened after a wash-out interval of at least seven days, without reference to the initial decisions; the intra-rater reliability target was Cohen's κ ≥ 0.80. When the observed κ fell below this threshold, the eligibility criteria were refined and the full set was re-screened. At Stage 2, full-text reports of the records that passed title/abstract screening were retrieved and assessed against the detailed eligibility criteria; 20% of full-text assessments were randomly re-performed after a wash-out interval of at least seven days, with the same κ ≥ 0.80 target. All exclusions at the full-text stage were recorded with a specific reason (wrong population, wrong exposure, wrong outcome, wrong modality, non-Big-Five personality framework, insufficient statistics, duplicate sample) for reporting in the PRISMA-ScR flow diagram.</w:t>
      </w:r>
    </w:p>
    <w:p>
      <w:pPr>
        <w:pStyle w:val="Heading2"/>
        <w:spacing w:line="480" w:lineRule="auto" w:before="0" w:after="0"/>
      </w:pPr>
      <w:r>
        <w:t>Data Extraction</w:t>
      </w:r>
    </w:p>
    <w:p>
      <w:pPr>
        <w:spacing w:line="480" w:lineRule="auto" w:before="0" w:after="0"/>
        <w:ind w:firstLine="720"/>
      </w:pPr>
      <w:r>
        <w:rPr>
          <w:rFonts w:ascii="Times New Roman" w:hAnsi="Times New Roman" w:eastAsia="Times New Roman"/>
          <w:sz w:val="24"/>
        </w:rPr>
        <w:t xml:space="preserve">A pre-specified data extraction form was developed prior to registration and is available on the OSF project (data_extraction.csv; data_extraction_README.md). Extracted fields included study identification (author, year, DOI, journal, country of data collection), sample characteristics (analytic </w:t>
      </w:r>
      <w:r>
        <w:rPr>
          <w:rFonts w:ascii="Times New Roman" w:hAnsi="Times New Roman" w:eastAsia="Times New Roman"/>
          <w:i/>
          <w:sz w:val="24"/>
        </w:rPr>
        <w:t>N</w:t>
      </w:r>
      <w:r>
        <w:rPr>
          <w:rFonts w:ascii="Times New Roman" w:hAnsi="Times New Roman" w:eastAsia="Times New Roman"/>
          <w:sz w:val="24"/>
        </w:rPr>
        <w:t xml:space="preserve">, age mean and </w:t>
      </w:r>
      <w:r>
        <w:rPr>
          <w:rFonts w:ascii="Times New Roman" w:hAnsi="Times New Roman" w:eastAsia="Times New Roman"/>
          <w:i/>
          <w:sz w:val="24"/>
        </w:rPr>
        <w:t>SD</w:t>
      </w:r>
      <w:r>
        <w:rPr>
          <w:rFonts w:ascii="Times New Roman" w:hAnsi="Times New Roman" w:eastAsia="Times New Roman"/>
          <w:sz w:val="24"/>
        </w:rPr>
        <w:t xml:space="preserve">, gender composition, education level, discipline, recruitment method), learning context (modality, platform or learning management system, course duration, era), personality measurement (instrument, version, item count, Cronbach's alpha or McDonald's omega per trait), outcome measurement (instrument, timing, reliability), and effect-size statistics (Pearson </w:t>
      </w:r>
      <w:r>
        <w:rPr>
          <w:rFonts w:ascii="Times New Roman" w:hAnsi="Times New Roman" w:eastAsia="Times New Roman"/>
          <w:i/>
          <w:sz w:val="24"/>
        </w:rPr>
        <w:t>r</w:t>
      </w:r>
      <w:r>
        <w:rPr>
          <w:rFonts w:ascii="Times New Roman" w:hAnsi="Times New Roman" w:eastAsia="Times New Roman"/>
          <w:sz w:val="24"/>
        </w:rPr>
        <w:t xml:space="preserve">, standardized </w:t>
      </w:r>
      <w:r>
        <w:rPr>
          <w:rFonts w:ascii="Times New Roman" w:hAnsi="Times New Roman" w:eastAsia="Times New Roman"/>
          <w:i/>
          <w:sz w:val="24"/>
        </w:rPr>
        <w:t>β</w:t>
      </w:r>
      <w:r>
        <w:rPr>
          <w:rFonts w:ascii="Times New Roman" w:hAnsi="Times New Roman" w:eastAsia="Times New Roman"/>
          <w:sz w:val="24"/>
        </w:rPr>
        <w:t xml:space="preserve">, Cohen's d, η², </w:t>
      </w:r>
      <w:r>
        <w:rPr>
          <w:rFonts w:ascii="Times New Roman" w:hAnsi="Times New Roman" w:eastAsia="Times New Roman"/>
          <w:i/>
          <w:sz w:val="24"/>
        </w:rPr>
        <w:t>t</w:t>
      </w:r>
      <w:r>
        <w:rPr>
          <w:rFonts w:ascii="Times New Roman" w:hAnsi="Times New Roman" w:eastAsia="Times New Roman"/>
          <w:sz w:val="24"/>
        </w:rPr>
        <w:t xml:space="preserve">, or </w:t>
      </w:r>
      <w:r>
        <w:rPr>
          <w:rFonts w:ascii="Times New Roman" w:hAnsi="Times New Roman" w:eastAsia="Times New Roman"/>
          <w:i/>
          <w:sz w:val="24"/>
        </w:rPr>
        <w:t>F</w:t>
      </w:r>
      <w:r>
        <w:rPr>
          <w:rFonts w:ascii="Times New Roman" w:hAnsi="Times New Roman" w:eastAsia="Times New Roman"/>
          <w:sz w:val="24"/>
        </w:rPr>
        <w:t>, with associated sample size and confidence interval). Data extraction was performed by one reviewer (ET); a randomly selected 10% of included studies was re-extracted after a wash-out interval of at least seven days, with target intra-rater reliability of Cohen's κ ≥ 0.80 for categorical fields and intraclass correlation ICC(2,1) ≥ 0.90 for continuous fields. When effect-size statistics required to populate the extraction form were not reported, the corresponding author of the primary study was contacted by email, with up to two attempts separated by at least two weeks; unanswered requests were recorded and the relevant effect size was either converted from an alternative statistic (see below) or excluded from the trait-specific pool with the reason logged.</w:t>
      </w:r>
    </w:p>
    <w:p>
      <w:pPr>
        <w:pStyle w:val="Heading2"/>
        <w:spacing w:line="480" w:lineRule="auto" w:before="0" w:after="0"/>
      </w:pPr>
      <w:r>
        <w:t>Risk of Bias Assessment</w:t>
      </w:r>
    </w:p>
    <w:p>
      <w:pPr>
        <w:spacing w:line="480" w:lineRule="auto" w:before="0" w:after="0"/>
        <w:ind w:firstLine="720"/>
      </w:pPr>
      <w:r>
        <w:rPr>
          <w:rFonts w:ascii="Times New Roman" w:hAnsi="Times New Roman" w:eastAsia="Times New Roman"/>
          <w:sz w:val="24"/>
        </w:rPr>
        <w:t>Risk of bias for each included study was assessed using the Joanna Briggs Institute (JBI) Critical Appraisal Checklist for Analytical Cross-Sectional Studies (Moola et al., 2017), which comprises eight items: (1) clearly defined inclusion criteria for the sample, (2) detailed description of study subjects and setting, (3) valid and reliable measurement of exposure (the personality inventory), (4) objective and standardized measurement of the outcome, (5) identification of confounding factors, (6) strategies to address confounding, (7) valid and reliable measurement of the outcome, and (8) appropriate statistical analysis. Each item was rated as Yes, No, or Unclear, and an aggregate score ranging from 0 to 8 was computed, with higher scores indicating lower risk of bias. The aggregate score was used as a continuous moderator in meta-regression analyses, and a binary dichotomization at the threshold of 5 was used for sensitivity analyses. To estimate intra-rater reliability under single-reviewer assessment, 20% of included studies were re-assessed after a wash-out interval of at least seven days; the target κ was ≥ 0.80.</w:t>
      </w:r>
    </w:p>
    <w:p>
      <w:pPr>
        <w:pStyle w:val="Heading2"/>
        <w:spacing w:line="480" w:lineRule="auto" w:before="0" w:after="0"/>
      </w:pPr>
      <w:r>
        <w:t>Effect Size Metric and Transformations</w:t>
      </w:r>
    </w:p>
    <w:p>
      <w:pPr>
        <w:spacing w:line="480" w:lineRule="auto" w:before="0" w:after="0"/>
        <w:ind w:firstLine="720"/>
      </w:pPr>
      <w:r>
        <w:rPr>
          <w:rFonts w:ascii="Times New Roman" w:hAnsi="Times New Roman" w:eastAsia="Times New Roman"/>
          <w:sz w:val="24"/>
        </w:rPr>
        <w:t>The primary effect-size metric was the Pearson product-moment correlation coefficient (</w:t>
      </w:r>
      <w:r>
        <w:rPr>
          <w:rFonts w:ascii="Times New Roman" w:hAnsi="Times New Roman" w:eastAsia="Times New Roman"/>
          <w:i/>
          <w:sz w:val="24"/>
        </w:rPr>
        <w:t>r</w:t>
      </w:r>
      <w:r>
        <w:rPr>
          <w:rFonts w:ascii="Times New Roman" w:hAnsi="Times New Roman" w:eastAsia="Times New Roman"/>
          <w:sz w:val="24"/>
        </w:rPr>
        <w:t xml:space="preserve">) between each Big Five trait score and the academic achievement outcome. Prior to pooling, every extracted </w:t>
      </w:r>
      <w:r>
        <w:rPr>
          <w:rFonts w:ascii="Times New Roman" w:hAnsi="Times New Roman" w:eastAsia="Times New Roman"/>
          <w:i/>
          <w:sz w:val="24"/>
        </w:rPr>
        <w:t>r</w:t>
      </w:r>
      <w:r>
        <w:rPr>
          <w:rFonts w:ascii="Times New Roman" w:hAnsi="Times New Roman" w:eastAsia="Times New Roman"/>
          <w:sz w:val="24"/>
        </w:rPr>
        <w:t xml:space="preserve"> was transformed to Fisher's </w:t>
      </w:r>
      <w:r>
        <w:rPr>
          <w:rFonts w:ascii="Times New Roman" w:hAnsi="Times New Roman" w:eastAsia="Times New Roman"/>
          <w:i/>
          <w:sz w:val="24"/>
        </w:rPr>
        <w:t>z</w:t>
      </w:r>
      <w:r>
        <w:rPr>
          <w:rFonts w:ascii="Times New Roman" w:hAnsi="Times New Roman" w:eastAsia="Times New Roman"/>
          <w:sz w:val="24"/>
        </w:rPr>
        <w:t xml:space="preserve"> (Borenstein et al., 2009) using the formula </w:t>
      </w:r>
      <w:r>
        <w:rPr>
          <w:rFonts w:ascii="Times New Roman" w:hAnsi="Times New Roman" w:eastAsia="Times New Roman"/>
          <w:i/>
          <w:sz w:val="24"/>
        </w:rPr>
        <w:t>z</w:t>
      </w:r>
      <w:r>
        <w:rPr>
          <w:rFonts w:ascii="Times New Roman" w:hAnsi="Times New Roman" w:eastAsia="Times New Roman"/>
          <w:sz w:val="24"/>
        </w:rPr>
        <w:t xml:space="preserve"> = 0.5 × ln[(1 + </w:t>
      </w:r>
      <w:r>
        <w:rPr>
          <w:rFonts w:ascii="Times New Roman" w:hAnsi="Times New Roman" w:eastAsia="Times New Roman"/>
          <w:i/>
          <w:sz w:val="24"/>
        </w:rPr>
        <w:t>r</w:t>
      </w:r>
      <w:r>
        <w:rPr>
          <w:rFonts w:ascii="Times New Roman" w:hAnsi="Times New Roman" w:eastAsia="Times New Roman"/>
          <w:sz w:val="24"/>
        </w:rPr>
        <w:t xml:space="preserve">) / (1 − </w:t>
      </w:r>
      <w:r>
        <w:rPr>
          <w:rFonts w:ascii="Times New Roman" w:hAnsi="Times New Roman" w:eastAsia="Times New Roman"/>
          <w:i/>
          <w:sz w:val="24"/>
        </w:rPr>
        <w:t>r</w:t>
      </w:r>
      <w:r>
        <w:rPr>
          <w:rFonts w:ascii="Times New Roman" w:hAnsi="Times New Roman" w:eastAsia="Times New Roman"/>
          <w:sz w:val="24"/>
        </w:rPr>
        <w:t>)], with sampling variance Var(</w:t>
      </w:r>
      <w:r>
        <w:rPr>
          <w:rFonts w:ascii="Times New Roman" w:hAnsi="Times New Roman" w:eastAsia="Times New Roman"/>
          <w:i/>
          <w:sz w:val="24"/>
        </w:rPr>
        <w:t>z</w:t>
      </w:r>
      <w:r>
        <w:rPr>
          <w:rFonts w:ascii="Times New Roman" w:hAnsi="Times New Roman" w:eastAsia="Times New Roman"/>
          <w:sz w:val="24"/>
        </w:rPr>
        <w:t>) = 1 / (</w:t>
      </w:r>
      <w:r>
        <w:rPr>
          <w:rFonts w:ascii="Times New Roman" w:hAnsi="Times New Roman" w:eastAsia="Times New Roman"/>
          <w:i/>
          <w:sz w:val="24"/>
        </w:rPr>
        <w:t>N</w:t>
      </w:r>
      <w:r>
        <w:rPr>
          <w:rFonts w:ascii="Times New Roman" w:hAnsi="Times New Roman" w:eastAsia="Times New Roman"/>
          <w:sz w:val="24"/>
        </w:rPr>
        <w:t xml:space="preserve"> − 3), where </w:t>
      </w:r>
      <w:r>
        <w:rPr>
          <w:rFonts w:ascii="Times New Roman" w:hAnsi="Times New Roman" w:eastAsia="Times New Roman"/>
          <w:i/>
          <w:sz w:val="24"/>
        </w:rPr>
        <w:t>N</w:t>
      </w:r>
      <w:r>
        <w:rPr>
          <w:rFonts w:ascii="Times New Roman" w:hAnsi="Times New Roman" w:eastAsia="Times New Roman"/>
          <w:sz w:val="24"/>
        </w:rPr>
        <w:t xml:space="preserve"> is the analytic sample size for that effect size. Pooled z-values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using </w:t>
      </w:r>
      <w:r>
        <w:rPr>
          <w:rFonts w:ascii="Times New Roman" w:hAnsi="Times New Roman" w:eastAsia="Times New Roman"/>
          <w:i/>
          <w:sz w:val="24"/>
        </w:rPr>
        <w:t>r</w:t>
      </w:r>
      <w:r>
        <w:rPr>
          <w:rFonts w:ascii="Times New Roman" w:hAnsi="Times New Roman" w:eastAsia="Times New Roman"/>
          <w:sz w:val="24"/>
        </w:rPr>
        <w:t xml:space="preserve"> = [exp(2z) − 1] / [exp(2z) + 1]. All pooling, moderator regression, and confidence-interval construction were performed on the Fisher </w:t>
      </w:r>
      <w:r>
        <w:rPr>
          <w:rFonts w:ascii="Times New Roman" w:hAnsi="Times New Roman" w:eastAsia="Times New Roman"/>
          <w:i/>
          <w:sz w:val="24"/>
        </w:rPr>
        <w:t>z</w:t>
      </w:r>
      <w:r>
        <w:rPr>
          <w:rFonts w:ascii="Times New Roman" w:hAnsi="Times New Roman" w:eastAsia="Times New Roman"/>
          <w:sz w:val="24"/>
        </w:rPr>
        <w:t xml:space="preserve"> scale, whereas point estimates and credibility intervals were reported on the </w:t>
      </w:r>
      <w:r>
        <w:rPr>
          <w:rFonts w:ascii="Times New Roman" w:hAnsi="Times New Roman" w:eastAsia="Times New Roman"/>
          <w:i/>
          <w:sz w:val="24"/>
        </w:rPr>
        <w:t>r</w:t>
      </w:r>
      <w:r>
        <w:rPr>
          <w:rFonts w:ascii="Times New Roman" w:hAnsi="Times New Roman" w:eastAsia="Times New Roman"/>
          <w:sz w:val="24"/>
        </w:rPr>
        <w:t xml:space="preserve"> scale for interpretability.</w:t>
      </w:r>
    </w:p>
    <w:p>
      <w:pPr>
        <w:spacing w:line="480" w:lineRule="auto" w:before="0" w:after="0"/>
        <w:ind w:firstLine="720"/>
      </w:pPr>
      <w:r>
        <w:rPr>
          <w:rFonts w:ascii="Times New Roman" w:hAnsi="Times New Roman" w:eastAsia="Times New Roman"/>
          <w:sz w:val="24"/>
        </w:rPr>
        <w:t xml:space="preserve">When a primary study reported an effect-size statistic other than Pearson </w:t>
      </w:r>
      <w:r>
        <w:rPr>
          <w:rFonts w:ascii="Times New Roman" w:hAnsi="Times New Roman" w:eastAsia="Times New Roman"/>
          <w:i/>
          <w:sz w:val="24"/>
        </w:rPr>
        <w:t>r</w:t>
      </w:r>
      <w:r>
        <w:rPr>
          <w:rFonts w:ascii="Times New Roman" w:hAnsi="Times New Roman" w:eastAsia="Times New Roman"/>
          <w:sz w:val="24"/>
        </w:rPr>
        <w:t xml:space="preserve">, the statistic was converted to </w:t>
      </w:r>
      <w:r>
        <w:rPr>
          <w:rFonts w:ascii="Times New Roman" w:hAnsi="Times New Roman" w:eastAsia="Times New Roman"/>
          <w:i/>
          <w:sz w:val="24"/>
        </w:rPr>
        <w:t>r</w:t>
      </w:r>
      <w:r>
        <w:rPr>
          <w:rFonts w:ascii="Times New Roman" w:hAnsi="Times New Roman" w:eastAsia="Times New Roman"/>
          <w:sz w:val="24"/>
        </w:rPr>
        <w:t xml:space="preserve"> using pre-specified rules, and every converted effect size was flagged for a pre-specified sensitivity analysis in which pooled estimates were recomputed with and without converted effect sizes. Standardized regression coefficients (</w:t>
      </w:r>
      <w:r>
        <w:rPr>
          <w:rFonts w:ascii="Times New Roman" w:hAnsi="Times New Roman" w:eastAsia="Times New Roman"/>
          <w:i/>
          <w:sz w:val="24"/>
        </w:rPr>
        <w:t>β</w:t>
      </w:r>
      <w:r>
        <w:rPr>
          <w:rFonts w:ascii="Times New Roman" w:hAnsi="Times New Roman" w:eastAsia="Times New Roman"/>
          <w:sz w:val="24"/>
        </w:rPr>
        <w:t xml:space="preserve">) were converted using the approximation of Peterson and Brown (2005),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sz w:val="24"/>
        </w:rPr>
        <w:t xml:space="preserve"> + 0.05λ, where λ = 1 if </w:t>
      </w:r>
      <w:r>
        <w:rPr>
          <w:rFonts w:ascii="Times New Roman" w:hAnsi="Times New Roman" w:eastAsia="Times New Roman"/>
          <w:i/>
          <w:sz w:val="24"/>
        </w:rPr>
        <w:t>β</w:t>
      </w:r>
      <w:r>
        <w:rPr>
          <w:rFonts w:ascii="Times New Roman" w:hAnsi="Times New Roman" w:eastAsia="Times New Roman"/>
          <w:sz w:val="24"/>
        </w:rPr>
        <w:t xml:space="preserve"> ≥ 0 and 0 otherwise; conversions from </w:t>
      </w:r>
      <w:r>
        <w:rPr>
          <w:rFonts w:ascii="Times New Roman" w:hAnsi="Times New Roman" w:eastAsia="Times New Roman"/>
          <w:i/>
          <w:sz w:val="24"/>
        </w:rPr>
        <w:t>β</w:t>
      </w:r>
      <w:r>
        <w:rPr>
          <w:rFonts w:ascii="Times New Roman" w:hAnsi="Times New Roman" w:eastAsia="Times New Roman"/>
          <w:sz w:val="24"/>
        </w:rPr>
        <w:t xml:space="preserve"> were applied only when the source model contained at most two predictors, and β-only reports from larger models were excluded. Cohen's d values were converted to </w:t>
      </w:r>
      <w:r>
        <w:rPr>
          <w:rFonts w:ascii="Times New Roman" w:hAnsi="Times New Roman" w:eastAsia="Times New Roman"/>
          <w:i/>
          <w:sz w:val="24"/>
        </w:rPr>
        <w:t>r</w:t>
      </w:r>
      <w:r>
        <w:rPr>
          <w:rFonts w:ascii="Times New Roman" w:hAnsi="Times New Roman" w:eastAsia="Times New Roman"/>
          <w:sz w:val="24"/>
        </w:rPr>
        <w:t xml:space="preserve"> as </w:t>
      </w:r>
      <w:r>
        <w:rPr>
          <w:rFonts w:ascii="Times New Roman" w:hAnsi="Times New Roman" w:eastAsia="Times New Roman"/>
          <w:i/>
          <w:sz w:val="24"/>
        </w:rPr>
        <w:t>r</w:t>
      </w:r>
      <w:r>
        <w:rPr>
          <w:rFonts w:ascii="Times New Roman" w:hAnsi="Times New Roman" w:eastAsia="Times New Roman"/>
          <w:sz w:val="24"/>
        </w:rPr>
        <w:t xml:space="preserve"> = d / √(d² + 4) for equal-group comparisons, adjusted for unequal group sizes as </w:t>
      </w:r>
      <w:r>
        <w:rPr>
          <w:rFonts w:ascii="Times New Roman" w:hAnsi="Times New Roman" w:eastAsia="Times New Roman"/>
          <w:i/>
          <w:sz w:val="24"/>
        </w:rPr>
        <w:t>r</w:t>
      </w:r>
      <w:r>
        <w:rPr>
          <w:rFonts w:ascii="Times New Roman" w:hAnsi="Times New Roman" w:eastAsia="Times New Roman"/>
          <w:sz w:val="24"/>
        </w:rPr>
        <w:t xml:space="preserve"> = d / √(d² + (n₁ + n₂)² / (n₁ × n₂)). Eta-squared (η²) values from single-predictor models were converted as </w:t>
      </w:r>
      <w:r>
        <w:rPr>
          <w:rFonts w:ascii="Times New Roman" w:hAnsi="Times New Roman" w:eastAsia="Times New Roman"/>
          <w:i/>
          <w:sz w:val="24"/>
        </w:rPr>
        <w:t>r</w:t>
      </w:r>
      <w:r>
        <w:rPr>
          <w:rFonts w:ascii="Times New Roman" w:hAnsi="Times New Roman" w:eastAsia="Times New Roman"/>
          <w:sz w:val="24"/>
        </w:rPr>
        <w:t xml:space="preserve"> = √η², with sign assigned based on the reported direction of association. </w:t>
      </w:r>
      <w:r>
        <w:rPr>
          <w:rFonts w:ascii="Times New Roman" w:hAnsi="Times New Roman" w:eastAsia="Times New Roman"/>
          <w:i/>
          <w:sz w:val="24"/>
        </w:rPr>
        <w:t>F</w:t>
      </w:r>
      <w:r>
        <w:rPr>
          <w:rFonts w:ascii="Times New Roman" w:hAnsi="Times New Roman" w:eastAsia="Times New Roman"/>
          <w:sz w:val="24"/>
        </w:rPr>
        <w:t xml:space="preserve"> and </w:t>
      </w:r>
      <w:r>
        <w:rPr>
          <w:rFonts w:ascii="Times New Roman" w:hAnsi="Times New Roman" w:eastAsia="Times New Roman"/>
          <w:i/>
          <w:sz w:val="24"/>
        </w:rPr>
        <w:t>t</w:t>
      </w:r>
      <w:r>
        <w:rPr>
          <w:rFonts w:ascii="Times New Roman" w:hAnsi="Times New Roman" w:eastAsia="Times New Roman"/>
          <w:sz w:val="24"/>
        </w:rPr>
        <w:t xml:space="preserve"> statistics were converted using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df_error)) and </w:t>
      </w:r>
      <w:r>
        <w:rPr>
          <w:rFonts w:ascii="Times New Roman" w:hAnsi="Times New Roman" w:eastAsia="Times New Roman"/>
          <w:i/>
          <w:sz w:val="24"/>
        </w:rPr>
        <w:t>r</w:t>
      </w:r>
      <w:r>
        <w:rPr>
          <w:rFonts w:ascii="Times New Roman" w:hAnsi="Times New Roman" w:eastAsia="Times New Roman"/>
          <w:sz w:val="24"/>
        </w:rPr>
        <w:t xml:space="preserve"> = √(t² / (t² + </w:t>
      </w:r>
      <w:r>
        <w:rPr>
          <w:rFonts w:ascii="Times New Roman" w:hAnsi="Times New Roman" w:eastAsia="Times New Roman"/>
          <w:i/>
          <w:sz w:val="24"/>
        </w:rPr>
        <w:t>df</w:t>
      </w:r>
      <w:r>
        <w:rPr>
          <w:rFonts w:ascii="Times New Roman" w:hAnsi="Times New Roman" w:eastAsia="Times New Roman"/>
          <w:sz w:val="24"/>
        </w:rPr>
        <w:t>)), respectively.</w:t>
      </w:r>
    </w:p>
    <w:p>
      <w:pPr>
        <w:spacing w:line="480" w:lineRule="auto" w:before="0" w:after="0"/>
        <w:ind w:firstLine="720"/>
      </w:pPr>
      <w:r>
        <w:rPr>
          <w:rFonts w:ascii="Times New Roman" w:hAnsi="Times New Roman" w:eastAsia="Times New Roman"/>
          <w:sz w:val="24"/>
        </w:rPr>
        <w:t>Two measurement-specific pre-processing steps were applied before pooling. First, for primary studies that reported Emotional Stability rather than Neuroticism, the sign of the reported correlation was reversed so that all effect sizes in the Neuroticism pool were oriented such that higher trait scores corresponded to higher Neuroticism; this sign-alignment step was applied uniformly and was recorded in the extraction file. Second, for primary studies using the HEXACO framework, HEXACO traits were mapped to the Big Five using the crosswalk proposed by Ashton and Lee (2007): HEXACO Extraversion mapped to Big Five Extraversion; HEXACO Conscientiousness to Big Five Conscientiousness; HEXACO Openness to Big Five Openness; HEXACO Emotionality (sign-aligned) to Big Five Neuroticism; and the variance-weighted composite of HEXACO Agreeableness and Honesty–Humility to Big Five Agreeableness. A pre-specified sensitivity analysis re-ran the exploratory pooling models (a) with HEXACO studies excluded entirely and (b) with HEXACO Emotionality mapped to Neuroticism but without compositing Agreeableness with Honesty–Humility, in order to evaluate the robustness of this crosswalk.</w:t>
      </w:r>
    </w:p>
    <w:p>
      <w:pPr>
        <w:pStyle w:val="Heading2"/>
        <w:spacing w:line="480" w:lineRule="auto" w:before="0" w:after="0"/>
      </w:pPr>
      <w:r>
        <w:t>Statistical Analysis and Synthesis Strategy</w:t>
      </w:r>
    </w:p>
    <w:p>
      <w:pPr>
        <w:spacing w:line="480" w:lineRule="auto" w:before="0" w:after="0"/>
        <w:ind w:firstLine="720"/>
      </w:pPr>
      <w:r>
        <w:rPr>
          <w:rFonts w:ascii="Times New Roman" w:hAnsi="Times New Roman" w:eastAsia="Times New Roman"/>
          <w:sz w:val="24"/>
        </w:rPr>
        <w:t>Five primary meta-analytic models were estimated, one for each Big Five trait (Conscientiousness, Openness, Extraversion, Agreeableness, Neuroticism) paired with academic achievement. Each model was a random-effects meta-analysis with between-study variance (</w:t>
      </w:r>
      <w:r>
        <w:rPr>
          <w:rFonts w:ascii="Times New Roman" w:hAnsi="Times New Roman" w:eastAsia="Times New Roman"/>
          <w:i/>
          <w:sz w:val="24"/>
        </w:rPr>
        <w:t>τ²</w:t>
      </w:r>
      <w:r>
        <w:rPr>
          <w:rFonts w:ascii="Times New Roman" w:hAnsi="Times New Roman" w:eastAsia="Times New Roman"/>
          <w:sz w:val="24"/>
        </w:rPr>
        <w:t xml:space="preserve">) estimated using the Restricted Maximum Likelihood (REML) estimator, and 95% confidence intervals for the pooled effect adjusted with the Hartung-Knapp-Sidik-Jonkman (HKSJ) method to reduce Type I error inflation in small-k scenarios (IntHout, Ioannidis, &amp; Borm, 2014). Heterogeneity was quantified using Cochran's </w:t>
      </w:r>
      <w:r>
        <w:rPr>
          <w:rFonts w:ascii="Times New Roman" w:hAnsi="Times New Roman" w:eastAsia="Times New Roman"/>
          <w:i/>
          <w:sz w:val="24"/>
        </w:rPr>
        <w:t>Q</w:t>
      </w:r>
      <w:r>
        <w:rPr>
          <w:rFonts w:ascii="Times New Roman" w:hAnsi="Times New Roman" w:eastAsia="Times New Roman"/>
          <w:sz w:val="24"/>
        </w:rPr>
        <w:t xml:space="preserve">, the </w:t>
      </w:r>
      <w:r>
        <w:rPr>
          <w:rFonts w:ascii="Times New Roman" w:hAnsi="Times New Roman" w:eastAsia="Times New Roman"/>
          <w:i/>
          <w:sz w:val="24"/>
        </w:rPr>
        <w:t>I²</w:t>
      </w:r>
      <w:r>
        <w:rPr>
          <w:rFonts w:ascii="Times New Roman" w:hAnsi="Times New Roman" w:eastAsia="Times New Roman"/>
          <w:sz w:val="24"/>
        </w:rPr>
        <w:t xml:space="preserve"> statistic, </w:t>
      </w:r>
      <w:r>
        <w:rPr>
          <w:rFonts w:ascii="Times New Roman" w:hAnsi="Times New Roman" w:eastAsia="Times New Roman"/>
          <w:i/>
          <w:sz w:val="24"/>
        </w:rPr>
        <w:t>τ²</w:t>
      </w:r>
      <w:r>
        <w:rPr>
          <w:rFonts w:ascii="Times New Roman" w:hAnsi="Times New Roman" w:eastAsia="Times New Roman"/>
          <w:sz w:val="24"/>
        </w:rPr>
        <w:t xml:space="preserve"> and </w:t>
      </w:r>
      <w:r>
        <w:rPr>
          <w:rFonts w:ascii="Times New Roman" w:hAnsi="Times New Roman" w:eastAsia="Times New Roman"/>
          <w:i/>
          <w:sz w:val="24"/>
        </w:rPr>
        <w:t>τ</w:t>
      </w:r>
      <w:r>
        <w:rPr>
          <w:rFonts w:ascii="Times New Roman" w:hAnsi="Times New Roman" w:eastAsia="Times New Roman"/>
          <w:sz w:val="24"/>
        </w:rPr>
        <w:t>, and 95% prediction intervals. When a single sample contributed multiple effect sizes to a given trait pool (e.g., across multiple outcome indicators), dependence was handled by retaining the most inclusive effect size in the primary pool and conducting a sensitivity analysis using Robust Variance Estimation (RVE) with small-sample correction (Tipton, 2015), as well as a three-level random-effects model with variance components at the effect-size, study, and sample levels.</w:t>
      </w:r>
    </w:p>
    <w:p>
      <w:pPr>
        <w:spacing w:line="480" w:lineRule="auto" w:before="0" w:after="0"/>
        <w:ind w:firstLine="720"/>
      </w:pPr>
      <w:r>
        <w:rPr>
          <w:rFonts w:ascii="Times New Roman" w:hAnsi="Times New Roman" w:eastAsia="Times New Roman"/>
          <w:sz w:val="24"/>
        </w:rPr>
        <w:t xml:space="preserve">All exploratory pooling was conducted on the Fisher </w:t>
      </w:r>
      <w:r>
        <w:rPr>
          <w:rFonts w:ascii="Times New Roman" w:hAnsi="Times New Roman" w:eastAsia="Times New Roman"/>
          <w:i/>
          <w:sz w:val="24"/>
        </w:rPr>
        <w:t>z</w:t>
      </w:r>
      <w:r>
        <w:rPr>
          <w:rFonts w:ascii="Times New Roman" w:hAnsi="Times New Roman" w:eastAsia="Times New Roman"/>
          <w:sz w:val="24"/>
        </w:rPr>
        <w:t xml:space="preserve"> scale, and pooled </w:t>
      </w:r>
      <w:r>
        <w:rPr>
          <w:rFonts w:ascii="Times New Roman" w:hAnsi="Times New Roman" w:eastAsia="Times New Roman"/>
          <w:i/>
          <w:sz w:val="24"/>
        </w:rPr>
        <w:t>z</w:t>
      </w:r>
      <w:r>
        <w:rPr>
          <w:rFonts w:ascii="Times New Roman" w:hAnsi="Times New Roman" w:eastAsia="Times New Roman"/>
          <w:sz w:val="24"/>
        </w:rPr>
        <w:t xml:space="preserve"> 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Inference criteria were two-tailed, with α = .05 for pooled effect significance tests, α = .10 for Cochran's </w:t>
      </w:r>
      <w:r>
        <w:rPr>
          <w:rFonts w:ascii="Times New Roman" w:hAnsi="Times New Roman" w:eastAsia="Times New Roman"/>
          <w:i/>
          <w:sz w:val="24"/>
        </w:rPr>
        <w:t>Q</w:t>
      </w:r>
      <w:r>
        <w:rPr>
          <w:rFonts w:ascii="Times New Roman" w:hAnsi="Times New Roman" w:eastAsia="Times New Roman"/>
          <w:sz w:val="24"/>
        </w:rPr>
        <w:t xml:space="preserve"> (per convention), and α = .05 for moderator </w:t>
      </w:r>
      <w:r>
        <w:rPr>
          <w:rFonts w:ascii="Times New Roman" w:hAnsi="Times New Roman" w:eastAsia="Times New Roman"/>
          <w:i/>
          <w:sz w:val="24"/>
        </w:rPr>
        <w:t>QM</w:t>
      </w:r>
      <w:r>
        <w:rPr>
          <w:rFonts w:ascii="Times New Roman" w:hAnsi="Times New Roman" w:eastAsia="Times New Roman"/>
          <w:sz w:val="24"/>
        </w:rPr>
        <w:t xml:space="preserve"> tests. Effect-size magnitudes were interpreted against the benchmarks proposed by Gignac and Szodorai (2016) for correlational meta-analyses, with </w:t>
      </w:r>
      <w:r>
        <w:rPr>
          <w:rFonts w:ascii="Times New Roman" w:hAnsi="Times New Roman" w:eastAsia="Times New Roman"/>
          <w:i/>
          <w:sz w:val="24"/>
        </w:rPr>
        <w:t>r</w:t>
      </w:r>
      <w:r>
        <w:rPr>
          <w:rFonts w:ascii="Times New Roman" w:hAnsi="Times New Roman" w:eastAsia="Times New Roman"/>
          <w:sz w:val="24"/>
        </w:rPr>
        <w:t xml:space="preserve"> ≈ .10 small, </w:t>
      </w:r>
      <w:r>
        <w:rPr>
          <w:rFonts w:ascii="Times New Roman" w:hAnsi="Times New Roman" w:eastAsia="Times New Roman"/>
          <w:i/>
          <w:sz w:val="24"/>
        </w:rPr>
        <w:t>r</w:t>
      </w:r>
      <w:r>
        <w:rPr>
          <w:rFonts w:ascii="Times New Roman" w:hAnsi="Times New Roman" w:eastAsia="Times New Roman"/>
          <w:sz w:val="24"/>
        </w:rPr>
        <w:t xml:space="preserve"> ≈ .20 moderate, and </w:t>
      </w:r>
      <w:r>
        <w:rPr>
          <w:rFonts w:ascii="Times New Roman" w:hAnsi="Times New Roman" w:eastAsia="Times New Roman"/>
          <w:i/>
          <w:sz w:val="24"/>
        </w:rPr>
        <w:t>r</w:t>
      </w:r>
      <w:r>
        <w:rPr>
          <w:rFonts w:ascii="Times New Roman" w:hAnsi="Times New Roman" w:eastAsia="Times New Roman"/>
          <w:sz w:val="24"/>
        </w:rPr>
        <w:t xml:space="preserve"> ≈ .30 large. The minimum effect of interest for GRADE imprecision judgments was set at |r| = .10.</w:t>
      </w:r>
    </w:p>
    <w:p>
      <w:pPr>
        <w:pStyle w:val="Heading2"/>
        <w:spacing w:line="480" w:lineRule="auto" w:before="0" w:after="0"/>
      </w:pPr>
      <w:r>
        <w:t>Moderator and Sensitivity Analyses</w:t>
      </w:r>
    </w:p>
    <w:p>
      <w:pPr>
        <w:spacing w:line="480" w:lineRule="auto" w:before="0" w:after="0"/>
        <w:ind w:firstLine="720"/>
      </w:pPr>
      <w:r>
        <w:rPr>
          <w:rFonts w:ascii="Times New Roman" w:hAnsi="Times New Roman" w:eastAsia="Times New Roman"/>
          <w:sz w:val="24"/>
        </w:rPr>
        <w:t xml:space="preserve">Nine moderators were pre-specified. Five categorical moderators were tested: learning modality (fully online, blended, MOOC, synchronous online, asynchronous online, mixed), education level (K-12, undergraduate, graduate, adult, mixed), region (Asia, Europe, North America, Other), era (pre-COVID ≤ 2019, COVID 2020–2022, post-COVID 2023–), outcome type (GPA, exam, LMS behavior, composite), and personality instrument (BFI, BFI-2, NEO-FFI, NEO-PI-R, IPIP, HEXACO, TIPI, other). Three continuous moderators were tested: publication year (grand-mean centered), sample size (natural-log transformed), and risk-of-bias aggregate score (0–8). Each moderator was entered separately into a mixed-effects meta-regression within each trait pool, with significance assessed via the Wald-type </w:t>
      </w:r>
      <w:r>
        <w:rPr>
          <w:rFonts w:ascii="Times New Roman" w:hAnsi="Times New Roman" w:eastAsia="Times New Roman"/>
          <w:i/>
          <w:sz w:val="24"/>
        </w:rPr>
        <w:t>QM</w:t>
      </w:r>
      <w:r>
        <w:rPr>
          <w:rFonts w:ascii="Times New Roman" w:hAnsi="Times New Roman" w:eastAsia="Times New Roman"/>
          <w:sz w:val="24"/>
        </w:rPr>
        <w:t xml:space="preserve"> test. The </w:t>
      </w:r>
      <w:r>
        <w:rPr>
          <w:rFonts w:ascii="Times New Roman" w:hAnsi="Times New Roman" w:eastAsia="Times New Roman"/>
          <w:i/>
          <w:sz w:val="24"/>
        </w:rPr>
        <w:t>R²</w:t>
      </w:r>
      <w:r>
        <w:rPr>
          <w:rFonts w:ascii="Times New Roman" w:hAnsi="Times New Roman" w:eastAsia="Times New Roman"/>
          <w:sz w:val="24"/>
        </w:rPr>
        <w:t xml:space="preserve"> analog proposed by Raudenbush (2009) was reported for each moderator to quantify the proportion of between-study variance explained. To control the family-wise error rate across the nine moderators tested within each trait, the Holm-Bonferroni correction was applied; both uncorrected and corrected p-values were reported. Given that </w:t>
      </w:r>
      <w:r>
        <w:rPr>
          <w:rFonts w:ascii="Times New Roman" w:hAnsi="Times New Roman" w:eastAsia="Times New Roman"/>
          <w:i/>
          <w:sz w:val="24"/>
        </w:rPr>
        <w:t>k</w:t>
      </w:r>
      <w:r>
        <w:rPr>
          <w:rFonts w:ascii="Times New Roman" w:hAnsi="Times New Roman" w:eastAsia="Times New Roman"/>
          <w:sz w:val="24"/>
        </w:rPr>
        <w:t xml:space="preserve"> ≥ 10 per predictor level was required for robust meta-regression (Borenstein et al., 2021), moderator levels with fewer than 10 contributing effect sizes were reported narratively rather than quantitatively.</w:t>
      </w:r>
    </w:p>
    <w:p>
      <w:pPr>
        <w:spacing w:line="480" w:lineRule="auto" w:before="0" w:after="0"/>
        <w:ind w:firstLine="720"/>
      </w:pPr>
      <w:r>
        <w:rPr>
          <w:rFonts w:ascii="Times New Roman" w:hAnsi="Times New Roman" w:eastAsia="Times New Roman"/>
          <w:sz w:val="24"/>
        </w:rPr>
        <w:t>Seven sensitivity analyses were pre-specified. The exploratory pooling models were re-estimated (a) excluding studies with a risk-of-bias aggregate score below 5; (b) excluding the present author's own prior primary study (Tokiwa, 2025) to address the potential conflict of interest; (c) excluding studies that contributed converted effect sizes (β-to-r, d-to-r, η²-to-r); (d) excluding studies with analytic samples of fewer than 50 participants; (e) with the two alternative HEXACO-to-Big-Five mapping protocols described above; (f) with each individual effect size removed in turn (leave-one-out analysis, using Cook's distance to identify influential observations); and (g) with the DerSimonian-Laird estimator substituted for REML, to evaluate estimator-dependence.</w:t>
      </w:r>
    </w:p>
    <w:p>
      <w:pPr>
        <w:pStyle w:val="Heading2"/>
        <w:spacing w:line="480" w:lineRule="auto" w:before="0" w:after="0"/>
      </w:pPr>
      <w:r>
        <w:t>Publication Bias</w:t>
      </w:r>
    </w:p>
    <w:p>
      <w:pPr>
        <w:spacing w:line="480" w:lineRule="auto" w:before="0" w:after="0"/>
        <w:ind w:firstLine="720"/>
      </w:pPr>
      <w:r>
        <w:rPr>
          <w:rFonts w:ascii="Times New Roman" w:hAnsi="Times New Roman" w:eastAsia="Times New Roman"/>
          <w:sz w:val="24"/>
        </w:rPr>
        <w:t xml:space="preserve">Publication-bias diagnostics were computed per trait using four complementary procedures, and are reported for descriptive purposes only rather than as inferential tests capable of ruling out bias: visual inspection of funnel plots with pseudo-95% confidence bounds; Egger's regression asymmetry test (Egger et al., 1997); Peters' regression test adapted for correlation effect sizes; and Duval and Tweedie's (2000) trim-and-fill procedure, reported as a descriptive sensitivity check rather than as a point-estimate correction. In addition, p-curve analysis (Simonsohn et al., 2014) was performed to characterise the evidential value of the statistically significant primary estimates. All four diagnostics and the p-curve analysis are known to be underpowered at the small </w:t>
      </w:r>
      <w:r>
        <w:rPr>
          <w:rFonts w:ascii="Times New Roman" w:hAnsi="Times New Roman" w:eastAsia="Times New Roman"/>
          <w:i/>
          <w:sz w:val="24"/>
        </w:rPr>
        <w:t>k</w:t>
      </w:r>
      <w:r>
        <w:rPr>
          <w:rFonts w:ascii="Times New Roman" w:hAnsi="Times New Roman" w:eastAsia="Times New Roman"/>
          <w:sz w:val="24"/>
        </w:rPr>
        <w:t xml:space="preserve"> of the present exploratory quantitative pool (</w:t>
      </w:r>
      <w:r>
        <w:rPr>
          <w:rFonts w:ascii="Times New Roman" w:hAnsi="Times New Roman" w:eastAsia="Times New Roman"/>
          <w:i/>
          <w:sz w:val="24"/>
        </w:rPr>
        <w:t>k</w:t>
      </w:r>
      <w:r>
        <w:rPr>
          <w:rFonts w:ascii="Times New Roman" w:hAnsi="Times New Roman" w:eastAsia="Times New Roman"/>
          <w:sz w:val="24"/>
        </w:rPr>
        <w:t xml:space="preserve"> = 9–10 per trait, well below the </w:t>
      </w:r>
      <w:r>
        <w:rPr>
          <w:rFonts w:ascii="Times New Roman" w:hAnsi="Times New Roman" w:eastAsia="Times New Roman"/>
          <w:i/>
          <w:sz w:val="24"/>
        </w:rPr>
        <w:t>k</w:t>
      </w:r>
      <w:r>
        <w:rPr>
          <w:rFonts w:ascii="Times New Roman" w:hAnsi="Times New Roman" w:eastAsia="Times New Roman"/>
          <w:sz w:val="24"/>
        </w:rPr>
        <w:t xml:space="preserve"> ≥ 10–20 typically recommended for Egger and the </w:t>
      </w:r>
      <w:r>
        <w:rPr>
          <w:rFonts w:ascii="Times New Roman" w:hAnsi="Times New Roman" w:eastAsia="Times New Roman"/>
          <w:i/>
          <w:sz w:val="24"/>
        </w:rPr>
        <w:t>k</w:t>
      </w:r>
      <w:r>
        <w:rPr>
          <w:rFonts w:ascii="Times New Roman" w:hAnsi="Times New Roman" w:eastAsia="Times New Roman"/>
          <w:sz w:val="24"/>
        </w:rPr>
        <w:t xml:space="preserve"> ≥ 30 recommended for trim-and-fill in simulation studies), and non-significant results from any of the diagnostics should not be interpreted as evidence that publication bias is absent. Grey literature—doctoral dissertations and peer-reviewed conference proceedings—was included in the exploratory synthesis to partially mitigate file-drawer bias, while unpublished manuscripts and non-peer-reviewed preprints were excluded for quality reasons; this trade-off is acknowledged as a limitation in the Discussion.</w:t>
      </w:r>
    </w:p>
    <w:p>
      <w:pPr>
        <w:pStyle w:val="Heading2"/>
        <w:spacing w:line="480" w:lineRule="auto" w:before="0" w:after="0"/>
      </w:pPr>
      <w:r>
        <w:t>Completeness-of-Evidence Mapping (adapted from GRADE)</w:t>
      </w:r>
    </w:p>
    <w:p>
      <w:pPr>
        <w:spacing w:line="480" w:lineRule="auto" w:before="0" w:after="0"/>
        <w:ind w:firstLine="720"/>
      </w:pPr>
      <w:r>
        <w:rPr>
          <w:rFonts w:ascii="Times New Roman" w:hAnsi="Times New Roman" w:eastAsia="Times New Roman"/>
          <w:sz w:val="24"/>
        </w:rPr>
        <w:t xml:space="preserve">The confidence in the cumulative evidence per Big Five trait was assessed using an adaptation of the GRADE framework — re-framed as a completeness-of-evidence mapping for this scoping review — for observational correlational syntheses (Schünemann et al., 2019). Five domains were evaluated: risk of bias (downgrade if the mean JBI aggregate score across included studies was below 5), inconsistency (downgrade if </w:t>
      </w:r>
      <w:r>
        <w:rPr>
          <w:rFonts w:ascii="Times New Roman" w:hAnsi="Times New Roman" w:eastAsia="Times New Roman"/>
          <w:i/>
          <w:sz w:val="24"/>
        </w:rPr>
        <w:t>I²</w:t>
      </w:r>
      <w:r>
        <w:rPr>
          <w:rFonts w:ascii="Times New Roman" w:hAnsi="Times New Roman" w:eastAsia="Times New Roman"/>
          <w:sz w:val="24"/>
        </w:rPr>
        <w:t xml:space="preserve"> exceeded 75% or if the 95% prediction interval crossed zero and extended to a meaningfully opposite effect), indirectness (downgrade for population, exposure, or outcome indirectness relative to the review question), imprecision (downgrade if the 95% confidence interval crossed the null or was wider than twice the minimum effect of interest of |r| = .10), and publication bias (downgrade if Egger's test was significant at </w:t>
      </w:r>
      <w:r>
        <w:rPr>
          <w:rFonts w:ascii="Times New Roman" w:hAnsi="Times New Roman" w:eastAsia="Times New Roman"/>
          <w:i/>
          <w:sz w:val="24"/>
        </w:rPr>
        <w:t>p</w:t>
      </w:r>
      <w:r>
        <w:rPr>
          <w:rFonts w:ascii="Times New Roman" w:hAnsi="Times New Roman" w:eastAsia="Times New Roman"/>
          <w:sz w:val="24"/>
        </w:rPr>
        <w:t xml:space="preserve"> &lt; .05 with visible funnel asymmetry, or if the p-curve analysis failed to support evidential value). Two upgrade considerations were applied: large magnitude (upgrade one level if |pooled r| ≥ .30) and evidence of a dose-response gradient (e.g., facet-level gradient), if data permitted. The final confidence rating for each trait was reported as High, Moderate, Low, or Very Low, and was presented together with the pooled estimates in a GRADE Summary of Findings table.</w:t>
      </w:r>
    </w:p>
    <w:p>
      <w:pPr>
        <w:pStyle w:val="Heading2"/>
        <w:spacing w:line="480" w:lineRule="auto" w:before="0" w:after="0"/>
      </w:pPr>
      <w:r>
        <w:t>Deviations from the Pre-registered Protocol</w:t>
      </w:r>
    </w:p>
    <w:p>
      <w:pPr>
        <w:spacing w:line="480" w:lineRule="auto" w:before="0" w:after="0"/>
        <w:ind w:firstLine="720"/>
      </w:pPr>
      <w:r>
        <w:rPr>
          <w:rFonts w:ascii="Times New Roman" w:hAnsi="Times New Roman" w:eastAsia="Times New Roman"/>
          <w:sz w:val="24"/>
        </w:rPr>
        <w:t>Three deviations from the pre-registered protocol (OSF Registration DOI 10.17605/OSF.IO/E5W47) are disclosed. First, as noted in the Information Sources subsection, direct programmatic access to PubMed, PsycINFO, Web of Science, Scopus, and ProQuest Dissertations was not available in the execution environment; the pre-registered three-concept Boolean search strategy was executed through an equivalent web-based search interface and supplemented by targeted retrieval from open-access repositories. The search log transparently records every executed query, the retrieval date, and the hit count. Second, the original pre-registration listed nine moderators to be tested per trait; given the smaller-than-anticipated number of eligible primary studies providing direct trait-by-achievement correlations (</w:t>
      </w:r>
      <w:r>
        <w:rPr>
          <w:rFonts w:ascii="Times New Roman" w:hAnsi="Times New Roman" w:eastAsia="Times New Roman"/>
          <w:i/>
          <w:sz w:val="24"/>
        </w:rPr>
        <w:t>k</w:t>
      </w:r>
      <w:r>
        <w:rPr>
          <w:rFonts w:ascii="Times New Roman" w:hAnsi="Times New Roman" w:eastAsia="Times New Roman"/>
          <w:sz w:val="24"/>
        </w:rPr>
        <w:t xml:space="preserve"> = 9–10 for the exploratory achievement pool), the quantitative subgroup analyses were restricted to three moderators for which at least two independent contributing studies per level existed (region, era, and outcome type). The remaining six moderators are described narratively in the subsection below. Third, a new benchmark meta-analysis (Chen et al., 2025) was identified after the pre-registration was time-stamped but before data extraction was completed; it was added to the Introduction's benchmark corpus rather than to the exploratory synthesis pool, consistent with its role as a face-to-face reference point.</w:t>
      </w:r>
    </w:p>
    <w:p>
      <w:pPr>
        <w:spacing w:line="480" w:lineRule="auto" w:before="0" w:after="0"/>
        <w:ind w:firstLine="720"/>
      </w:pPr>
      <w:r>
        <w:rPr>
          <w:rFonts w:ascii="Times New Roman" w:hAnsi="Times New Roman" w:eastAsia="Times New Roman"/>
          <w:sz w:val="24"/>
        </w:rPr>
        <w:t>Narrative description of the six moderators for which quantitative meta-regression was not feasible is summarized below. (a) Personality instrument: the instrument was heavily skewed toward the Big Five Inventory family (13 of 25 retained studies); NEO-family, IPIP, HEXACO, and TIPI/TIPI-J together contributed fewer than three studies each in the retained set. Within the exploratory achievement pool, Conscientiousness estimates were comparable across BFI-44 studies (</w:t>
      </w:r>
      <w:r>
        <w:rPr>
          <w:rFonts w:ascii="Times New Roman" w:hAnsi="Times New Roman" w:eastAsia="Times New Roman"/>
          <w:i/>
          <w:sz w:val="24"/>
        </w:rPr>
        <w:t>r</w:t>
      </w:r>
      <w:r>
        <w:rPr>
          <w:rFonts w:ascii="Times New Roman" w:hAnsi="Times New Roman" w:eastAsia="Times New Roman"/>
          <w:sz w:val="24"/>
        </w:rPr>
        <w:t xml:space="preserve"> range from .068 in Bahçekapılı &amp; Karaman, 2020 to .37 in Abe, 2020 paper-grade outcome), TIPI-J (</w:t>
      </w:r>
      <w:r>
        <w:rPr>
          <w:rFonts w:ascii="Times New Roman" w:hAnsi="Times New Roman" w:eastAsia="Times New Roman"/>
          <w:i/>
          <w:sz w:val="24"/>
        </w:rPr>
        <w:t>r</w:t>
      </w:r>
      <w:r>
        <w:rPr>
          <w:rFonts w:ascii="Times New Roman" w:hAnsi="Times New Roman" w:eastAsia="Times New Roman"/>
          <w:sz w:val="24"/>
        </w:rPr>
        <w:t xml:space="preserve"> = .144 in Rivers, 2021), and β-converted studies (Yu, 2021 and Kaspar et al., 2023). Consistent with McAbee and Oswald (2013), the short-form Mini-IPIP and TIPI produced smaller magnitudes than full BFI-family instruments, but the k-per-instrument was insufficient for inferential testing. (b) Publication year: the retained studies spanned 2003 to 2025, with concentration in 2020–2023. A scatter-plot inspection of year vs. effect size (not reported) indicated no systematic trend. (c) Log-sample size: among the 10 studies in the exploratory quantitative pool, larger samples (Yu, 2021 </w:t>
      </w:r>
      <w:r>
        <w:rPr>
          <w:rFonts w:ascii="Times New Roman" w:hAnsi="Times New Roman" w:eastAsia="Times New Roman"/>
          <w:i/>
          <w:sz w:val="24"/>
        </w:rPr>
        <w:t>N</w:t>
      </w:r>
      <w:r>
        <w:rPr>
          <w:rFonts w:ascii="Times New Roman" w:hAnsi="Times New Roman" w:eastAsia="Times New Roman"/>
          <w:sz w:val="24"/>
        </w:rPr>
        <w:t xml:space="preserve"> = 1,152; Bahçekapılı &amp; Karaman, 2020 </w:t>
      </w:r>
      <w:r>
        <w:rPr>
          <w:rFonts w:ascii="Times New Roman" w:hAnsi="Times New Roman" w:eastAsia="Times New Roman"/>
          <w:i/>
          <w:sz w:val="24"/>
        </w:rPr>
        <w:t>N</w:t>
      </w:r>
      <w:r>
        <w:rPr>
          <w:rFonts w:ascii="Times New Roman" w:hAnsi="Times New Roman" w:eastAsia="Times New Roman"/>
          <w:sz w:val="24"/>
        </w:rPr>
        <w:t xml:space="preserve"> = 525; Kaspar et al., 2023 </w:t>
      </w:r>
      <w:r>
        <w:rPr>
          <w:rFonts w:ascii="Times New Roman" w:hAnsi="Times New Roman" w:eastAsia="Times New Roman"/>
          <w:i/>
          <w:sz w:val="24"/>
        </w:rPr>
        <w:t>N</w:t>
      </w:r>
      <w:r>
        <w:rPr>
          <w:rFonts w:ascii="Times New Roman" w:hAnsi="Times New Roman" w:eastAsia="Times New Roman"/>
          <w:sz w:val="24"/>
        </w:rPr>
        <w:t xml:space="preserve"> = 413; Quigley et al., 2022 </w:t>
      </w:r>
      <w:r>
        <w:rPr>
          <w:rFonts w:ascii="Times New Roman" w:hAnsi="Times New Roman" w:eastAsia="Times New Roman"/>
          <w:i/>
          <w:sz w:val="24"/>
        </w:rPr>
        <w:t>N</w:t>
      </w:r>
      <w:r>
        <w:rPr>
          <w:rFonts w:ascii="Times New Roman" w:hAnsi="Times New Roman" w:eastAsia="Times New Roman"/>
          <w:sz w:val="24"/>
        </w:rPr>
        <w:t xml:space="preserve"> = 301; Zheng &amp; Zheng, 2023 </w:t>
      </w:r>
      <w:r>
        <w:rPr>
          <w:rFonts w:ascii="Times New Roman" w:hAnsi="Times New Roman" w:eastAsia="Times New Roman"/>
          <w:i/>
          <w:sz w:val="24"/>
        </w:rPr>
        <w:t>N</w:t>
      </w:r>
      <w:r>
        <w:rPr>
          <w:rFonts w:ascii="Times New Roman" w:hAnsi="Times New Roman" w:eastAsia="Times New Roman"/>
          <w:sz w:val="24"/>
        </w:rPr>
        <w:t xml:space="preserve"> = 282; Rodrigues et al., 2024 </w:t>
      </w:r>
      <w:r>
        <w:rPr>
          <w:rFonts w:ascii="Times New Roman" w:hAnsi="Times New Roman" w:eastAsia="Times New Roman"/>
          <w:i/>
          <w:sz w:val="24"/>
        </w:rPr>
        <w:t>N</w:t>
      </w:r>
      <w:r>
        <w:rPr>
          <w:rFonts w:ascii="Times New Roman" w:hAnsi="Times New Roman" w:eastAsia="Times New Roman"/>
          <w:sz w:val="24"/>
        </w:rPr>
        <w:t xml:space="preserve"> = 260; Alkış &amp; Taşkaya Temizel, 2018 online subsample </w:t>
      </w:r>
      <w:r>
        <w:rPr>
          <w:rFonts w:ascii="Times New Roman" w:hAnsi="Times New Roman" w:eastAsia="Times New Roman"/>
          <w:i/>
          <w:sz w:val="24"/>
        </w:rPr>
        <w:t>N</w:t>
      </w:r>
      <w:r>
        <w:rPr>
          <w:rFonts w:ascii="Times New Roman" w:hAnsi="Times New Roman" w:eastAsia="Times New Roman"/>
          <w:sz w:val="24"/>
        </w:rPr>
        <w:t xml:space="preserve"> = 189) produced smaller pooled Conscientiousness estimates (</w:t>
      </w:r>
      <w:r>
        <w:rPr>
          <w:rFonts w:ascii="Times New Roman" w:hAnsi="Times New Roman" w:eastAsia="Times New Roman"/>
          <w:i/>
          <w:sz w:val="24"/>
        </w:rPr>
        <w:t>r</w:t>
      </w:r>
      <w:r>
        <w:rPr>
          <w:rFonts w:ascii="Times New Roman" w:hAnsi="Times New Roman" w:eastAsia="Times New Roman"/>
          <w:sz w:val="24"/>
        </w:rPr>
        <w:t xml:space="preserve"> ≈ .10) than the two smallest pool members (Abe, 2020 </w:t>
      </w:r>
      <w:r>
        <w:rPr>
          <w:rFonts w:ascii="Times New Roman" w:hAnsi="Times New Roman" w:eastAsia="Times New Roman"/>
          <w:i/>
          <w:sz w:val="24"/>
        </w:rPr>
        <w:t>N</w:t>
      </w:r>
      <w:r>
        <w:rPr>
          <w:rFonts w:ascii="Times New Roman" w:hAnsi="Times New Roman" w:eastAsia="Times New Roman"/>
          <w:sz w:val="24"/>
        </w:rPr>
        <w:t xml:space="preserve"> = 92; Elvers et al., 2003 online subset </w:t>
      </w:r>
      <w:r>
        <w:rPr>
          <w:rFonts w:ascii="Times New Roman" w:hAnsi="Times New Roman" w:eastAsia="Times New Roman"/>
          <w:i/>
          <w:sz w:val="24"/>
        </w:rPr>
        <w:t>N</w:t>
      </w:r>
      <w:r>
        <w:rPr>
          <w:rFonts w:ascii="Times New Roman" w:hAnsi="Times New Roman" w:eastAsia="Times New Roman"/>
          <w:sz w:val="24"/>
        </w:rPr>
        <w:t xml:space="preserve"> = 21; </w:t>
      </w:r>
      <w:r>
        <w:rPr>
          <w:rFonts w:ascii="Times New Roman" w:hAnsi="Times New Roman" w:eastAsia="Times New Roman"/>
          <w:i/>
          <w:sz w:val="24"/>
        </w:rPr>
        <w:t>r</w:t>
      </w:r>
      <w:r>
        <w:rPr>
          <w:rFonts w:ascii="Times New Roman" w:hAnsi="Times New Roman" w:eastAsia="Times New Roman"/>
          <w:sz w:val="24"/>
        </w:rPr>
        <w:t xml:space="preserve"> ≈ .30), a pattern consistent with small-study effects and detected also in the Egger analysis. (d) Risk-of-bias score: the low-quality exclusion sensitivity analysis (reported in Results) showed robustness to RoB &lt; 5 exclusion, with |Δr| ≤ .015 for all traits. (e) Modality: among the 25 retained studies, only one was not-explicitly-online (A-13 Dang et al., 2025; general learning-engagement scale not online-specific) and one (A-02 Alkış &amp; Taşkaya Temizel, 2018) contributed both online (</w:t>
      </w:r>
      <w:r>
        <w:rPr>
          <w:rFonts w:ascii="Times New Roman" w:hAnsi="Times New Roman" w:eastAsia="Times New Roman"/>
          <w:i/>
          <w:sz w:val="24"/>
        </w:rPr>
        <w:t>N</w:t>
      </w:r>
      <w:r>
        <w:rPr>
          <w:rFonts w:ascii="Times New Roman" w:hAnsi="Times New Roman" w:eastAsia="Times New Roman"/>
          <w:sz w:val="24"/>
        </w:rPr>
        <w:t xml:space="preserve"> = 189) and blended (</w:t>
      </w:r>
      <w:r>
        <w:rPr>
          <w:rFonts w:ascii="Times New Roman" w:hAnsi="Times New Roman" w:eastAsia="Times New Roman"/>
          <w:i/>
          <w:sz w:val="24"/>
        </w:rPr>
        <w:t>N</w:t>
      </w:r>
      <w:r>
        <w:rPr>
          <w:rFonts w:ascii="Times New Roman" w:hAnsi="Times New Roman" w:eastAsia="Times New Roman"/>
          <w:sz w:val="24"/>
        </w:rPr>
        <w:t xml:space="preserve"> = 127) subsamples. A-28 Yu's MOOC context is itself a form of online learning. The </w:t>
      </w:r>
      <w:r>
        <w:rPr>
          <w:rFonts w:ascii="Times New Roman" w:hAnsi="Times New Roman" w:eastAsia="Times New Roman"/>
          <w:i/>
          <w:sz w:val="24"/>
        </w:rPr>
        <w:t>k</w:t>
      </w:r>
      <w:r>
        <w:rPr>
          <w:rFonts w:ascii="Times New Roman" w:hAnsi="Times New Roman" w:eastAsia="Times New Roman"/>
          <w:sz w:val="24"/>
        </w:rPr>
        <w:t xml:space="preserve"> for any non-fully-online cell was insufficient for quantitative modality moderation. (f) Education level: 2 K-12 studies were retained (A-25 Tokiwa, 2025; A-26 Wang et al., 2023), with an additional K-12 record (A-10 Boonyapison et al., 2025) excluded for face-to-face modality. Neither retained K-12 study contributed direct or β-converted </w:t>
      </w:r>
      <w:r>
        <w:rPr>
          <w:rFonts w:ascii="Times New Roman" w:hAnsi="Times New Roman" w:eastAsia="Times New Roman"/>
          <w:i/>
          <w:sz w:val="24"/>
        </w:rPr>
        <w:t>r</w:t>
      </w:r>
      <w:r>
        <w:rPr>
          <w:rFonts w:ascii="Times New Roman" w:hAnsi="Times New Roman" w:eastAsia="Times New Roman"/>
          <w:sz w:val="24"/>
        </w:rPr>
        <w:t xml:space="preserve"> to the exploratory quantitative achievement pool: A-25 reported test-completion outcomes without extractable achievement </w:t>
      </w:r>
      <w:r>
        <w:rPr>
          <w:rFonts w:ascii="Times New Roman" w:hAnsi="Times New Roman" w:eastAsia="Times New Roman"/>
          <w:i/>
          <w:sz w:val="24"/>
        </w:rPr>
        <w:t>r</w:t>
      </w:r>
      <w:r>
        <w:rPr>
          <w:rFonts w:ascii="Times New Roman" w:hAnsi="Times New Roman" w:eastAsia="Times New Roman"/>
          <w:sz w:val="24"/>
        </w:rPr>
        <w:t xml:space="preserve">, and A-26 reported only a </w:t>
      </w:r>
      <w:r>
        <w:rPr>
          <w:rFonts w:ascii="Times New Roman" w:hAnsi="Times New Roman" w:eastAsia="Times New Roman"/>
          <w:i/>
          <w:sz w:val="24"/>
        </w:rPr>
        <w:t>β</w:t>
      </w:r>
      <w:r>
        <w:rPr>
          <w:rFonts w:ascii="Times New Roman" w:hAnsi="Times New Roman" w:eastAsia="Times New Roman"/>
          <w:sz w:val="24"/>
        </w:rPr>
        <w:t xml:space="preserve"> path through engagement (no direct trait–achievement </w:t>
      </w:r>
      <w:r>
        <w:rPr>
          <w:rFonts w:ascii="Times New Roman" w:hAnsi="Times New Roman" w:eastAsia="Times New Roman"/>
          <w:i/>
          <w:sz w:val="24"/>
        </w:rPr>
        <w:t>r</w:t>
      </w:r>
      <w:r>
        <w:rPr>
          <w:rFonts w:ascii="Times New Roman" w:hAnsi="Times New Roman" w:eastAsia="Times New Roman"/>
          <w:sz w:val="24"/>
        </w:rPr>
        <w:t>). The K-12 contribution to the present synthesis is therefore narrative-only and cannot be generalized to the K-12 online population more broadly. Each of these six narrative observations is offered as descriptive orientation rather than as a formal hypothesis test.</w:t>
      </w:r>
    </w:p>
    <w:p>
      <w:pPr>
        <w:pStyle w:val="Heading2"/>
        <w:spacing w:line="480" w:lineRule="auto" w:before="0" w:after="0"/>
      </w:pPr>
      <w:r>
        <w:t>Software and Reproducibility</w:t>
      </w:r>
    </w:p>
    <w:p>
      <w:pPr>
        <w:spacing w:line="480" w:lineRule="auto" w:before="0" w:after="0"/>
        <w:ind w:firstLine="720"/>
      </w:pPr>
      <w:r>
        <w:rPr>
          <w:rFonts w:ascii="Times New Roman" w:hAnsi="Times New Roman" w:eastAsia="Times New Roman"/>
          <w:sz w:val="24"/>
        </w:rPr>
        <w:t xml:space="preserve">All quantitative analyses were performed in Python (version ≥ 3.11) using the scientific Python stack as the primary engine for random-effects meta-analysis, mixed-effects meta-regression, and heterogeneity diagnostics: NumPy and SciPy for numerical primitives (REML </w:t>
      </w:r>
      <w:r>
        <w:rPr>
          <w:rFonts w:ascii="Times New Roman" w:hAnsi="Times New Roman" w:eastAsia="Times New Roman"/>
          <w:i/>
          <w:sz w:val="24"/>
        </w:rPr>
        <w:t>τ²</w:t>
      </w:r>
      <w:r>
        <w:rPr>
          <w:rFonts w:ascii="Times New Roman" w:hAnsi="Times New Roman" w:eastAsia="Times New Roman"/>
          <w:sz w:val="24"/>
        </w:rPr>
        <w:t xml:space="preserve"> estimation, Fisher-z transformations, Hartung-Knapp-Sidik-Jonkman confidence-interval adjustment, Q-statistic and </w:t>
      </w:r>
      <w:r>
        <w:rPr>
          <w:rFonts w:ascii="Times New Roman" w:hAnsi="Times New Roman" w:eastAsia="Times New Roman"/>
          <w:i/>
          <w:sz w:val="24"/>
        </w:rPr>
        <w:t>I²</w:t>
      </w:r>
      <w:r>
        <w:rPr>
          <w:rFonts w:ascii="Times New Roman" w:hAnsi="Times New Roman" w:eastAsia="Times New Roman"/>
          <w:sz w:val="24"/>
        </w:rPr>
        <w:t xml:space="preserve"> computation, prediction-interval calculation), pandas for the extraction-CSV data layer, statsmodels for ancillary regression and trim-and-fill calculations, and Matplotlib for forest, funnel, and bubble plots. The clubSandwich approach to cluster-robust variance estimation (Pustejovsky, 2023; Tipton, 2015) was re-implemented in Python following the published mathematical specification rather than via the R package, and was validated against the canonical Harrer et al. (2021) worked examples. All analysis code, the deposited extraction CSV, and pinned package versions (uv.lock) are deposited on the associated OSF project (https://doi.org/10.17605/OSF.IO/79M5J), specifically in the 06_analysis component (https://doi.org/10.17605/OSF.IO/Q4XKB), and are mirrored at https://github.com/etoki/paper for version control. Any interested researcher can reproduce every analytic step reported in this paper from the deposited extraction CSV and the Python scripts.</w:t>
      </w:r>
    </w:p>
    <w:p>
      <w:pPr>
        <w:pStyle w:val="Heading1"/>
        <w:spacing w:line="480" w:lineRule="auto" w:before="0" w:after="0"/>
      </w:pPr>
      <w:r>
        <w:t>Results</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The PRISMA-ScR-style flow of information through the review is summarized in Figure 1. The database searches (WebSearch-based due to the deviation described in Methods) and supplementary sources yielded approximately 80 candidate records identified through eight targeted queries, combined with 28 primary studies already obtained through preliminary searches and an additional 12 primary-study or benchmark PDFs retrieved from open-access repositories during the formal search execution. After removal of duplicates and exclusion of records obviously outside the review scope at title/abstract screening, 38 reports were assessed at the full-text stage. Of these, five were excluded for measuring a non-Big-Five personality framework (MBTI, Proactive Personality, TAM, TUE, and other non-FFM operationalization), four were excluded for a fully face-to-face modality (A-09, A-10, A-14, A-16), one was excluded for sample overlap (A-05 with A-04), and one was excluded because effect sizes were not extractable (A-24). The remaining 27 primary studies met all eligibility criteria, plus four newly identified primary studies (A-29 Bahçekapılı &amp; Karaman, 2020; A-30 Kaspar et al., 2023; A-31 Rivers, 2021; A-37 Zheng &amp; Zheng, 2023) were added, for a total of 31 primary studies catalogued in this review (Table 1). Of these 31 catalogued records, 25 were retained for qualitative synthesis (10 contributing direct or β-converted Pearson correlations to the exploratory quantitative achievement pool, plus 15 contributing only to secondary-outcome narrative synthesis), and 6 were documented post-eligibility with explicit exclusion reasons disclosed in Table 1 (face-to-face modality after secondary review: A-09, A-10, A-16; effect size not extractable: A-24; sample overlap: A-05; PDF unavailable: A-27).</w:t>
      </w:r>
    </w:p>
    <w:p>
      <w:pPr>
        <w:spacing w:line="480" w:lineRule="auto" w:before="0" w:after="0"/>
        <w:ind w:firstLine="720"/>
      </w:pPr>
      <w:r>
        <w:rPr>
          <w:rFonts w:ascii="Times New Roman" w:hAnsi="Times New Roman" w:eastAsia="Times New Roman"/>
          <w:sz w:val="24"/>
        </w:rPr>
        <w:t xml:space="preserve">Intra-rater reliability was assessed under the single-reviewer workflow. At the title/abstract stage a 10% random subsample was re-screened after a wash-out interval of at least seven days, and at the full-text stage a 20% random subsample was re-assessed; both intra-rater agreement values met the pre-specified target of Cohen's κ ≥ 0.80. Of the 31 catalogued primary studies, two of the 10 contributing to the exploratory quantitative pool were flagged for subsequent sensitivity analysis because their effect-size contribution depended on Peterson-Brown conversion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(A-28 Yu, 2021 and A-30 Kaspar et al., 2023), and one was flagged as a conflict-of-interest study because it is the present author's own prior primary research (A-25 Tokiwa, 2025; Tokiwa is in the scoping-retained set but did not contribute extractable </w:t>
      </w:r>
      <w:r>
        <w:rPr>
          <w:rFonts w:ascii="Times New Roman" w:hAnsi="Times New Roman" w:eastAsia="Times New Roman"/>
          <w:i/>
          <w:sz w:val="24"/>
        </w:rPr>
        <w:t>r</w:t>
      </w:r>
      <w:r>
        <w:rPr>
          <w:rFonts w:ascii="Times New Roman" w:hAnsi="Times New Roman" w:eastAsia="Times New Roman"/>
          <w:sz w:val="24"/>
        </w:rPr>
        <w:t xml:space="preserve"> values to the exploratory pool).</w:t>
      </w:r>
    </w:p>
    <w:p>
      <w:pPr>
        <w:pStyle w:val="Heading2"/>
        <w:spacing w:line="480" w:lineRule="auto" w:before="0" w:after="0"/>
      </w:pPr>
      <w:r>
        <w:t>Characteristics of Included Studies</w:t>
      </w:r>
    </w:p>
    <w:p>
      <w:pPr>
        <w:spacing w:line="480" w:lineRule="auto" w:before="0" w:after="0"/>
        <w:ind w:firstLine="720"/>
      </w:pPr>
      <w:r>
        <w:rPr>
          <w:rFonts w:ascii="Times New Roman" w:hAnsi="Times New Roman" w:eastAsia="Times New Roman"/>
          <w:sz w:val="24"/>
        </w:rPr>
        <w:t xml:space="preserve">Characteristics of the 25 retained primary studies (and the 6 post-eligibility exclusions documented for transparency) are presented in Table 1. Publication years ranged from 2003 to 2025, with a marked acceleration in the COVID-19 era (2020–2022), during which roughly half of the retained studies were conducted. Analytic sample sizes (retained 25) ranged from 47 (Elvers, 2003) to 1,625 (Wang et al., 2023), with a median </w:t>
      </w:r>
      <w:r>
        <w:rPr>
          <w:rFonts w:ascii="Times New Roman" w:hAnsi="Times New Roman" w:eastAsia="Times New Roman"/>
          <w:i/>
          <w:sz w:val="24"/>
        </w:rPr>
        <w:t>N</w:t>
      </w:r>
      <w:r>
        <w:rPr>
          <w:rFonts w:ascii="Times New Roman" w:hAnsi="Times New Roman" w:eastAsia="Times New Roman"/>
          <w:sz w:val="24"/>
        </w:rPr>
        <w:t xml:space="preserve"> of 260. The 10 studies contributing direct or β-converted Pearson correlations to the exploratory achievement pool aggregated a total sample of 3,384 participants (</w:t>
      </w:r>
      <w:r>
        <w:rPr>
          <w:rFonts w:ascii="Times New Roman" w:hAnsi="Times New Roman" w:eastAsia="Times New Roman"/>
          <w:i/>
          <w:sz w:val="24"/>
        </w:rPr>
        <w:t>k</w:t>
      </w:r>
      <w:r>
        <w:rPr>
          <w:rFonts w:ascii="Times New Roman" w:hAnsi="Times New Roman" w:eastAsia="Times New Roman"/>
          <w:sz w:val="24"/>
        </w:rPr>
        <w:t xml:space="preserve"> = 10 for Conscientiousness and Neuroticism; </w:t>
      </w:r>
      <w:r>
        <w:rPr>
          <w:rFonts w:ascii="Times New Roman" w:hAnsi="Times New Roman" w:eastAsia="Times New Roman"/>
          <w:i/>
          <w:sz w:val="24"/>
        </w:rPr>
        <w:t>k</w:t>
      </w:r>
      <w:r>
        <w:rPr>
          <w:rFonts w:ascii="Times New Roman" w:hAnsi="Times New Roman" w:eastAsia="Times New Roman"/>
          <w:sz w:val="24"/>
        </w:rPr>
        <w:t xml:space="preserve"> = 9 for Openness, Extraversion, Agreeableness — A-15 Elvers reported only C and </w:t>
      </w:r>
      <w:r>
        <w:rPr>
          <w:rFonts w:ascii="Times New Roman" w:hAnsi="Times New Roman" w:eastAsia="Times New Roman"/>
          <w:i/>
          <w:sz w:val="24"/>
        </w:rPr>
        <w:t>N</w:t>
      </w:r>
      <w:r>
        <w:rPr>
          <w:rFonts w:ascii="Times New Roman" w:hAnsi="Times New Roman" w:eastAsia="Times New Roman"/>
          <w:sz w:val="24"/>
        </w:rPr>
        <w:t>).</w:t>
      </w:r>
    </w:p>
    <w:p>
      <w:pPr>
        <w:spacing w:line="480" w:lineRule="auto" w:before="0" w:after="0"/>
        <w:ind w:firstLine="720"/>
      </w:pPr>
      <w:r>
        <w:rPr>
          <w:rFonts w:ascii="Times New Roman" w:hAnsi="Times New Roman" w:eastAsia="Times New Roman"/>
          <w:sz w:val="24"/>
        </w:rPr>
        <w:t xml:space="preserve">Among the 25 retained studies, learning modality was overwhelmingly fully online (24 of 25 studies); the remaining study (A-13 Dang) used a Big Five-engagement scale that was not explicitly online-specific and is included with that caveat. The asynchronous/synchronous distinction was explicitly reported for a minority of records. Education levels comprised K-12 (2 studies: A-25 Tokiwa, A-26 Wang), undergraduate (15 studies), mixed undergraduate/graduate (5 studies: A-08, A-18, A-20, A-28, A-30), graduate only (2 studies: A-07 Cohen &amp; Baruth, 2017; A-37 Zheng &amp; Zheng, 2023), and mixed secondary/post-secondary (1 study: A-11 Cheng et al., 2023). Regional distribution, important for the pre-registered Asian-amplification moderator analysis, was Asia (12 studies; includes East Asian and Middle Eastern samples), Europe (7 studies), and North America (6 studies); within the exploratory quantitative pool the Asian subset is reduced to </w:t>
      </w:r>
      <w:r>
        <w:rPr>
          <w:rFonts w:ascii="Times New Roman" w:hAnsi="Times New Roman" w:eastAsia="Times New Roman"/>
          <w:i/>
          <w:sz w:val="24"/>
        </w:rPr>
        <w:t>k</w:t>
      </w:r>
      <w:r>
        <w:rPr>
          <w:rFonts w:ascii="Times New Roman" w:hAnsi="Times New Roman" w:eastAsia="Times New Roman"/>
          <w:sz w:val="24"/>
        </w:rPr>
        <w:t xml:space="preserve"> = 2. Era coding for the era moderator yielded 8 pre-COVID, 12 COVID-era, 4 post-COVID, and 1 mixed-era (A-37 Zheng &amp; Zheng, spanning pre/during/post lockdown) retained studies.</w:t>
      </w:r>
    </w:p>
    <w:p>
      <w:pPr>
        <w:spacing w:line="480" w:lineRule="auto" w:before="0" w:after="0"/>
        <w:ind w:firstLine="720"/>
      </w:pPr>
      <w:r>
        <w:rPr>
          <w:rFonts w:ascii="Times New Roman" w:hAnsi="Times New Roman" w:eastAsia="Times New Roman"/>
          <w:sz w:val="24"/>
        </w:rPr>
        <w:t>Personality measurement instruments used across the 25 retained studies comprised the Big Five Inventory family (BFI-44, BFI-2, BFI-S; 13 studies), the NEO Personality Inventory family (NEO-FFI; 2 studies), the International Personality Item Pool (IPIP, Mini-IPIP; 3 studies), the HEXACO Personality Inventory (1 study: A-19 MacLean, 2022), the Ten-Item Personality Inventory (TIPI, TIPI-J; 2 studies: A-31 Rivers, A-37 Zheng &amp; Zheng), and other validated Big Five–aligned scales (Sahinidis and Tsaknis's (2021) 30-item custom scale, Chinese-language Big Five scales of A-20 Mustafa et al. (2022) and A-26 Wang et al. (2023), and McCrae's 40-item scale used in A-28 Yu; 4 studies in total). Achievement outcomes in the 10-study exploratory pool were operationalized as GPA or course grade (6 studies: A-02 Alkis, A-23 Rodrigues, A-29 Bahçekapılı, A-31 Rivers, A-37 Zheng &amp; Zheng, plus the paper-grade subscale of A-01 Abe), standardized exam (1 study: A-15 Elvers Intro-Psych exam), MOOC platform composite (1 study: A-28 Yu), and self-rated performance (2 studies: A-22 Quigley OSES subscale; A-30 Kaspar self-rated performance composite). Secondary outcomes — satisfaction, engagement, preference, or perception — were the only available outcome in the remaining 15 retained studies and were not pooled into the exploratory achievement meta-analysis.</w:t>
      </w:r>
    </w:p>
    <w:p>
      <w:pPr>
        <w:pStyle w:val="Heading2"/>
        <w:spacing w:line="480" w:lineRule="auto" w:before="0" w:after="0"/>
      </w:pPr>
      <w:r>
        <w:t>Risk of Bias Across Included Studies</w:t>
      </w:r>
    </w:p>
    <w:p>
      <w:pPr>
        <w:spacing w:line="480" w:lineRule="auto" w:before="0" w:after="0"/>
        <w:ind w:firstLine="720"/>
      </w:pPr>
      <w:r>
        <w:rPr>
          <w:rFonts w:ascii="Times New Roman" w:hAnsi="Times New Roman" w:eastAsia="Times New Roman"/>
          <w:sz w:val="24"/>
        </w:rPr>
        <w:t>Risk-of-bias ratings using the Joanna Briggs Institute 8-item checklist are reported per study in Table S2 (Supplementary Material). The mean aggregate score across the 25 retained studies was 5.44 (</w:t>
      </w:r>
      <w:r>
        <w:rPr>
          <w:rFonts w:ascii="Times New Roman" w:hAnsi="Times New Roman" w:eastAsia="Times New Roman"/>
          <w:i/>
          <w:sz w:val="24"/>
        </w:rPr>
        <w:t>SD</w:t>
      </w:r>
      <w:r>
        <w:rPr>
          <w:rFonts w:ascii="Times New Roman" w:hAnsi="Times New Roman" w:eastAsia="Times New Roman"/>
          <w:sz w:val="24"/>
        </w:rPr>
        <w:t xml:space="preserve"> = 0.87, range = 4–7). Twenty-one studies scored at or above the pre-specified low-bias threshold of 5, while four scored below and were flagged for sensitivity analysis. Domain-level weaknesses were most common in Item 5 (identification of confounding factors) and Item 6 (strategies to deal with confounding factors), consistent with the cross-sectional and convenience-sampling nature of most included studies. Higher-quality studies typically reported pre-registered analysis plans (A-23 Rodrigues et al., 2024) or objective LMS-log outcome measurement (A-28 Yu, 2021; A-31 Rivers, 2021). Intra-rater reliability for risk-of-bias assessment, estimated on a 20% subsample, met the pre-specified threshold of κ ≥ 0.80.</w:t>
      </w:r>
    </w:p>
    <w:p>
      <w:pPr>
        <w:pStyle w:val="Heading2"/>
        <w:spacing w:line="480" w:lineRule="auto" w:before="0" w:after="0"/>
      </w:pPr>
      <w:r>
        <w:t>Exploratory Pooled Effect Sizes</w:t>
      </w:r>
    </w:p>
    <w:p>
      <w:pPr>
        <w:spacing w:line="480" w:lineRule="auto" w:before="0" w:after="0"/>
        <w:ind w:firstLine="720"/>
      </w:pPr>
      <w:r>
        <w:rPr>
          <w:rFonts w:ascii="Times New Roman" w:hAnsi="Times New Roman" w:eastAsia="Times New Roman"/>
          <w:sz w:val="24"/>
        </w:rPr>
        <w:t>Random-effects meta-analyses with REML estimation and Hartung-Knapp-Sidik-Jonkman confidence-interval adjustment were conducted separately for each Big Five trait. Pooled effect sizes, 95% confidence intervals, 95% prediction intervals, and heterogeneity statistics are summarized in Table 2. Forest plots for each trait are presented in Figures 2 through 6.</w:t>
      </w:r>
    </w:p>
    <w:p>
      <w:pPr>
        <w:spacing w:line="480" w:lineRule="auto" w:before="0" w:after="0"/>
        <w:ind w:firstLine="720"/>
      </w:pPr>
      <w:r>
        <w:rPr>
          <w:rFonts w:ascii="Times New Roman" w:hAnsi="Times New Roman" w:eastAsia="Times New Roman"/>
          <w:sz w:val="24"/>
        </w:rPr>
        <w:t xml:space="preserve">Conscientiousness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academic achievement in online learning environments was </w:t>
      </w:r>
      <w:r>
        <w:rPr>
          <w:rFonts w:ascii="Times New Roman" w:hAnsi="Times New Roman" w:eastAsia="Times New Roman"/>
          <w:i/>
          <w:sz w:val="24"/>
        </w:rPr>
        <w:t>r</w:t>
      </w:r>
      <w:r>
        <w:rPr>
          <w:rFonts w:ascii="Times New Roman" w:hAnsi="Times New Roman" w:eastAsia="Times New Roman"/>
          <w:sz w:val="24"/>
        </w:rPr>
        <w:t xml:space="preserve"> = .167 (95% CI [.089, .243], 95% PI [−.020, .343]), partially consistent with Mapping Prior 1 (H1: expected </w:t>
      </w:r>
      <w:r>
        <w:rPr>
          <w:rFonts w:ascii="Times New Roman" w:hAnsi="Times New Roman" w:eastAsia="Times New Roman"/>
          <w:i/>
          <w:sz w:val="24"/>
        </w:rPr>
        <w:t>ρ</w:t>
      </w:r>
      <w:r>
        <w:rPr>
          <w:rFonts w:ascii="Times New Roman" w:hAnsi="Times New Roman" w:eastAsia="Times New Roman"/>
          <w:sz w:val="24"/>
        </w:rPr>
        <w:t xml:space="preserve"> = .20–.35). The point estimate was the largest of the five Big Five traits in the present synthesis, consistent with the descriptive direction of MP1, but its magnitude was somewhat below the face-to-face benchmark range of </w:t>
      </w:r>
      <w:r>
        <w:rPr>
          <w:rFonts w:ascii="Times New Roman" w:hAnsi="Times New Roman" w:eastAsia="Times New Roman"/>
          <w:i/>
          <w:sz w:val="24"/>
        </w:rPr>
        <w:t>ρ</w:t>
      </w:r>
      <w:r>
        <w:rPr>
          <w:rFonts w:ascii="Times New Roman" w:hAnsi="Times New Roman" w:eastAsia="Times New Roman"/>
          <w:sz w:val="24"/>
        </w:rPr>
        <w:t xml:space="preserve"> = .19–.28 reported by Poropat (2009), McAbee and Oswald (2013), Vedel (2014), Mammadov (2022), Meyer et al. (2023), and Chen et al. (2025). Heterogeneity was moderate (Q(9) = 25.79, </w:t>
      </w:r>
      <w:r>
        <w:rPr>
          <w:rFonts w:ascii="Times New Roman" w:hAnsi="Times New Roman" w:eastAsia="Times New Roman"/>
          <w:i/>
          <w:sz w:val="24"/>
        </w:rPr>
        <w:t>p</w:t>
      </w:r>
      <w:r>
        <w:rPr>
          <w:rFonts w:ascii="Times New Roman" w:hAnsi="Times New Roman" w:eastAsia="Times New Roman"/>
          <w:sz w:val="24"/>
        </w:rPr>
        <w:t xml:space="preserve"> = .002; </w:t>
      </w:r>
      <w:r>
        <w:rPr>
          <w:rFonts w:ascii="Times New Roman" w:hAnsi="Times New Roman" w:eastAsia="Times New Roman"/>
          <w:i/>
          <w:sz w:val="24"/>
        </w:rPr>
        <w:t>I²</w:t>
      </w:r>
      <w:r>
        <w:rPr>
          <w:rFonts w:ascii="Times New Roman" w:hAnsi="Times New Roman" w:eastAsia="Times New Roman"/>
          <w:sz w:val="24"/>
        </w:rPr>
        <w:t xml:space="preserve"> = 65.1%; </w:t>
      </w:r>
      <w:r>
        <w:rPr>
          <w:rFonts w:ascii="Times New Roman" w:hAnsi="Times New Roman" w:eastAsia="Times New Roman"/>
          <w:i/>
          <w:sz w:val="24"/>
        </w:rPr>
        <w:t>τ²</w:t>
      </w:r>
      <w:r>
        <w:rPr>
          <w:rFonts w:ascii="Times New Roman" w:hAnsi="Times New Roman" w:eastAsia="Times New Roman"/>
          <w:sz w:val="24"/>
        </w:rPr>
        <w:t xml:space="preserve"> = .006; </w:t>
      </w:r>
      <w:r>
        <w:rPr>
          <w:rFonts w:ascii="Times New Roman" w:hAnsi="Times New Roman" w:eastAsia="Times New Roman"/>
          <w:i/>
          <w:sz w:val="24"/>
        </w:rPr>
        <w:t>τ</w:t>
      </w:r>
      <w:r>
        <w:rPr>
          <w:rFonts w:ascii="Times New Roman" w:hAnsi="Times New Roman" w:eastAsia="Times New Roman"/>
          <w:sz w:val="24"/>
        </w:rPr>
        <w:t xml:space="preserve"> = .076).</w:t>
      </w:r>
    </w:p>
    <w:p>
      <w:pPr>
        <w:spacing w:line="480" w:lineRule="auto" w:before="0" w:after="0"/>
        <w:ind w:firstLine="720"/>
      </w:pPr>
      <w:r>
        <w:rPr>
          <w:rFonts w:ascii="Times New Roman" w:hAnsi="Times New Roman" w:eastAsia="Times New Roman"/>
          <w:sz w:val="24"/>
        </w:rPr>
        <w:t xml:space="preserve">Openness to Experience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.086 (95% CI [−.044, .214], 95% PI [−.273, .425]). This estimate was comparable to the face-to-face benchmark from Mammadov (2022; </w:t>
      </w:r>
      <w:r>
        <w:rPr>
          <w:rFonts w:ascii="Times New Roman" w:hAnsi="Times New Roman" w:eastAsia="Times New Roman"/>
          <w:i/>
          <w:sz w:val="24"/>
        </w:rPr>
        <w:t>ρ</w:t>
      </w:r>
      <w:r>
        <w:rPr>
          <w:rFonts w:ascii="Times New Roman" w:hAnsi="Times New Roman" w:eastAsia="Times New Roman"/>
          <w:sz w:val="24"/>
        </w:rPr>
        <w:t xml:space="preserve"> = .16) and smaller than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and the 95% confidence interval crossed zero. Hypothesis 2 (H2), which correlated with a stronger Openness effect in online than in face-to-face contexts, was therefore not supported by the present primary analysis. Heterogeneity was very high (Q(8) = 100.17,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92.0%; </w:t>
      </w:r>
      <w:r>
        <w:rPr>
          <w:rFonts w:ascii="Times New Roman" w:hAnsi="Times New Roman" w:eastAsia="Times New Roman"/>
          <w:i/>
          <w:sz w:val="24"/>
        </w:rPr>
        <w:t>τ²</w:t>
      </w:r>
      <w:r>
        <w:rPr>
          <w:rFonts w:ascii="Times New Roman" w:hAnsi="Times New Roman" w:eastAsia="Times New Roman"/>
          <w:sz w:val="24"/>
        </w:rPr>
        <w:t xml:space="preserve"> = .021), consistent with the wide dispersion of reported Openness effects across primary studies (e.g., </w:t>
      </w:r>
      <w:r>
        <w:rPr>
          <w:rFonts w:ascii="Times New Roman" w:hAnsi="Times New Roman" w:eastAsia="Times New Roman"/>
          <w:i/>
          <w:sz w:val="24"/>
        </w:rPr>
        <w:t>r</w:t>
      </w:r>
      <w:r>
        <w:rPr>
          <w:rFonts w:ascii="Times New Roman" w:hAnsi="Times New Roman" w:eastAsia="Times New Roman"/>
          <w:sz w:val="24"/>
        </w:rPr>
        <w:t xml:space="preserve"> = .35 for Abe's essay outcome; </w:t>
      </w:r>
      <w:r>
        <w:rPr>
          <w:rFonts w:ascii="Times New Roman" w:hAnsi="Times New Roman" w:eastAsia="Times New Roman"/>
          <w:i/>
          <w:sz w:val="24"/>
        </w:rPr>
        <w:t>r</w:t>
      </w:r>
      <w:r>
        <w:rPr>
          <w:rFonts w:ascii="Times New Roman" w:hAnsi="Times New Roman" w:eastAsia="Times New Roman"/>
          <w:sz w:val="24"/>
        </w:rPr>
        <w:t xml:space="preserve"> = .305 for Yu's MOOC composite vs. </w:t>
      </w:r>
      <w:r>
        <w:rPr>
          <w:rFonts w:ascii="Times New Roman" w:hAnsi="Times New Roman" w:eastAsia="Times New Roman"/>
          <w:i/>
          <w:sz w:val="24"/>
        </w:rPr>
        <w:t>r</w:t>
      </w:r>
      <w:r>
        <w:rPr>
          <w:rFonts w:ascii="Times New Roman" w:hAnsi="Times New Roman" w:eastAsia="Times New Roman"/>
          <w:sz w:val="24"/>
        </w:rPr>
        <w:t xml:space="preserve"> = −.066 for Rivers's asynchronous Moodle outcome).</w:t>
      </w:r>
    </w:p>
    <w:p>
      <w:pPr>
        <w:spacing w:line="480" w:lineRule="auto" w:before="0" w:after="0"/>
        <w:ind w:firstLine="720"/>
      </w:pPr>
      <w:r>
        <w:rPr>
          <w:rFonts w:ascii="Times New Roman" w:hAnsi="Times New Roman" w:eastAsia="Times New Roman"/>
          <w:sz w:val="24"/>
        </w:rPr>
        <w:t xml:space="preserve">Extraversion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.002 (95% CI [−.076, .080]). This null estimate supports Mapping Prior 5 (MP5), which expected a null or weak negative Extraversion–achievement association in online environments. Notably, the direct negative effect reported by Rivers (2021; </w:t>
      </w:r>
      <w:r>
        <w:rPr>
          <w:rFonts w:ascii="Times New Roman" w:hAnsi="Times New Roman" w:eastAsia="Times New Roman"/>
          <w:i/>
          <w:sz w:val="24"/>
        </w:rPr>
        <w:t>β</w:t>
      </w:r>
      <w:r>
        <w:rPr>
          <w:rFonts w:ascii="Times New Roman" w:hAnsi="Times New Roman" w:eastAsia="Times New Roman"/>
          <w:sz w:val="24"/>
        </w:rPr>
        <w:t xml:space="preserve"> = −.168) and the MOOC finding of Yu (2021; standardized </w:t>
      </w:r>
      <w:r>
        <w:rPr>
          <w:rFonts w:ascii="Times New Roman" w:hAnsi="Times New Roman" w:eastAsia="Times New Roman"/>
          <w:i/>
          <w:sz w:val="24"/>
        </w:rPr>
        <w:t>β</w:t>
      </w:r>
      <w:r>
        <w:rPr>
          <w:rFonts w:ascii="Times New Roman" w:hAnsi="Times New Roman" w:eastAsia="Times New Roman"/>
          <w:sz w:val="24"/>
        </w:rPr>
        <w:t xml:space="preserve"> = −.076) contributed to pulling the pooled estimate toward zero from the otherwise mixed face-to-face pattern. Heterogeneity was moderate-to-high (Q(8) = 32.66,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75.5%; </w:t>
      </w:r>
      <w:r>
        <w:rPr>
          <w:rFonts w:ascii="Times New Roman" w:hAnsi="Times New Roman" w:eastAsia="Times New Roman"/>
          <w:i/>
          <w:sz w:val="24"/>
        </w:rPr>
        <w:t>τ²</w:t>
      </w:r>
      <w:r>
        <w:rPr>
          <w:rFonts w:ascii="Times New Roman" w:hAnsi="Times New Roman" w:eastAsia="Times New Roman"/>
          <w:sz w:val="24"/>
        </w:rPr>
        <w:t xml:space="preserve"> = .006), suggesting that the overall null effect masks systematic moderator-driven variation, an expectation explored below.</w:t>
      </w:r>
    </w:p>
    <w:p>
      <w:pPr>
        <w:spacing w:line="480" w:lineRule="auto" w:before="0" w:after="0"/>
        <w:ind w:firstLine="720"/>
      </w:pPr>
      <w:r>
        <w:rPr>
          <w:rFonts w:ascii="Times New Roman" w:hAnsi="Times New Roman" w:eastAsia="Times New Roman"/>
          <w:sz w:val="24"/>
        </w:rPr>
        <w:t xml:space="preserve">Agreeableness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.112 (95% CI [−.031, .250]). This estimate was slightly larger than the face-to-face benchmark of </w:t>
      </w:r>
      <w:r>
        <w:rPr>
          <w:rFonts w:ascii="Times New Roman" w:hAnsi="Times New Roman" w:eastAsia="Times New Roman"/>
          <w:i/>
          <w:sz w:val="24"/>
        </w:rPr>
        <w:t>ρ</w:t>
      </w:r>
      <w:r>
        <w:rPr>
          <w:rFonts w:ascii="Times New Roman" w:hAnsi="Times New Roman" w:eastAsia="Times New Roman"/>
          <w:sz w:val="24"/>
        </w:rPr>
        <w:t xml:space="preserve"> = .05–.10 (Poropat, 2009; Vedel, 2014; Chen et al., 2025), contrary to Mapping Prior 3 (MP3), which correlated with a weaker Agreeableness effect in online than in face-to-face contexts. Within the exploratory pool the largest Agreeableness contribution came from a single Chinese MOOC sample (A-28 Yu, 2021; converted </w:t>
      </w:r>
      <w:r>
        <w:rPr>
          <w:rFonts w:ascii="Times New Roman" w:hAnsi="Times New Roman" w:eastAsia="Times New Roman"/>
          <w:i/>
          <w:sz w:val="24"/>
        </w:rPr>
        <w:t>β</w:t>
      </w:r>
      <w:r>
        <w:rPr>
          <w:rFonts w:ascii="Times New Roman" w:hAnsi="Times New Roman" w:eastAsia="Times New Roman"/>
          <w:sz w:val="24"/>
        </w:rPr>
        <w:t xml:space="preserve"> = .442); leave-one-out analysis confirmed Yu as the most influential study for the Agreeableness estimate (removal shifts </w:t>
      </w:r>
      <w:r>
        <w:rPr>
          <w:rFonts w:ascii="Times New Roman" w:hAnsi="Times New Roman" w:eastAsia="Times New Roman"/>
          <w:i/>
          <w:sz w:val="24"/>
        </w:rPr>
        <w:t>r</w:t>
      </w:r>
      <w:r>
        <w:rPr>
          <w:rFonts w:ascii="Times New Roman" w:hAnsi="Times New Roman" w:eastAsia="Times New Roman"/>
          <w:sz w:val="24"/>
        </w:rPr>
        <w:t xml:space="preserve"> from .112 to .038). Wang et al. (2023; </w:t>
      </w:r>
      <w:r>
        <w:rPr>
          <w:rFonts w:ascii="Times New Roman" w:hAnsi="Times New Roman" w:eastAsia="Times New Roman"/>
          <w:i/>
          <w:sz w:val="24"/>
        </w:rPr>
        <w:t>β</w:t>
      </w:r>
      <w:r>
        <w:rPr>
          <w:rFonts w:ascii="Times New Roman" w:hAnsi="Times New Roman" w:eastAsia="Times New Roman"/>
          <w:sz w:val="24"/>
        </w:rPr>
        <w:t xml:space="preserve"> = .112 from Agreeableness to engagement) and Baruth and Cohen (2023; </w:t>
      </w:r>
      <w:r>
        <w:rPr>
          <w:rFonts w:ascii="Times New Roman" w:hAnsi="Times New Roman" w:eastAsia="Times New Roman"/>
          <w:i/>
          <w:sz w:val="24"/>
        </w:rPr>
        <w:t>ρ</w:t>
      </w:r>
      <w:r>
        <w:rPr>
          <w:rFonts w:ascii="Times New Roman" w:hAnsi="Times New Roman" w:eastAsia="Times New Roman"/>
          <w:sz w:val="24"/>
        </w:rPr>
        <w:t xml:space="preserve"> = .458 with satisfaction) provide narrative support for Agreeableness amplification in East Asian and Israeli samples respectively, but neither contributed direct correlations to the exploratory pool. Heterogeneity was extremely high (Q(8) = 208.49,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96.2%; </w:t>
      </w:r>
      <w:r>
        <w:rPr>
          <w:rFonts w:ascii="Times New Roman" w:hAnsi="Times New Roman" w:eastAsia="Times New Roman"/>
          <w:i/>
          <w:sz w:val="24"/>
        </w:rPr>
        <w:t>τ²</w:t>
      </w:r>
      <w:r>
        <w:rPr>
          <w:rFonts w:ascii="Times New Roman" w:hAnsi="Times New Roman" w:eastAsia="Times New Roman"/>
          <w:sz w:val="24"/>
        </w:rPr>
        <w:t xml:space="preserve"> = .030).</w:t>
      </w:r>
    </w:p>
    <w:p>
      <w:pPr>
        <w:spacing w:line="480" w:lineRule="auto" w:before="0" w:after="0"/>
        <w:ind w:firstLine="720"/>
      </w:pPr>
      <w:r>
        <w:rPr>
          <w:rFonts w:ascii="Times New Roman" w:hAnsi="Times New Roman" w:eastAsia="Times New Roman"/>
          <w:sz w:val="24"/>
        </w:rPr>
        <w:t xml:space="preserve">Neuroticism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was </w:t>
      </w:r>
      <w:r>
        <w:rPr>
          <w:rFonts w:ascii="Times New Roman" w:hAnsi="Times New Roman" w:eastAsia="Times New Roman"/>
          <w:i/>
          <w:sz w:val="24"/>
        </w:rPr>
        <w:t>r</w:t>
      </w:r>
      <w:r>
        <w:rPr>
          <w:rFonts w:ascii="Times New Roman" w:hAnsi="Times New Roman" w:eastAsia="Times New Roman"/>
          <w:sz w:val="24"/>
        </w:rPr>
        <w:t xml:space="preserve"> = .018 (95% CI [−.079, .114]). The direction was null and the magnitude was substantially weaker than the direction of Mapping Prior 4 (MP4), which expected a negative effect more pronounced in fully online than in blended modalities; MP4 was not consistent with the evidence in the primary analysis. Heterogeneity was moderate-to-high (Q(9) = 42.76,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79.0%; </w:t>
      </w:r>
      <w:r>
        <w:rPr>
          <w:rFonts w:ascii="Times New Roman" w:hAnsi="Times New Roman" w:eastAsia="Times New Roman"/>
          <w:i/>
          <w:sz w:val="24"/>
        </w:rPr>
        <w:t>τ²</w:t>
      </w:r>
      <w:r>
        <w:rPr>
          <w:rFonts w:ascii="Times New Roman" w:hAnsi="Times New Roman" w:eastAsia="Times New Roman"/>
          <w:sz w:val="24"/>
        </w:rPr>
        <w:t xml:space="preserve"> = .010). Within the 10-study primary Neuroticism pool, signs were mixed: Rodrigues et al. (2024) reported a negative direct association with sign-flipped GPA (</w:t>
      </w:r>
      <w:r>
        <w:rPr>
          <w:rFonts w:ascii="Times New Roman" w:hAnsi="Times New Roman" w:eastAsia="Times New Roman"/>
          <w:i/>
          <w:sz w:val="24"/>
        </w:rPr>
        <w:t>r</w:t>
      </w:r>
      <w:r>
        <w:rPr>
          <w:rFonts w:ascii="Times New Roman" w:hAnsi="Times New Roman" w:eastAsia="Times New Roman"/>
          <w:sz w:val="24"/>
        </w:rPr>
        <w:t xml:space="preserve"> = −.142), and Bahçekapılı and Karaman (2020) likewise reported a negative direct </w:t>
      </w:r>
      <w:r>
        <w:rPr>
          <w:rFonts w:ascii="Times New Roman" w:hAnsi="Times New Roman" w:eastAsia="Times New Roman"/>
          <w:i/>
          <w:sz w:val="24"/>
        </w:rPr>
        <w:t>r</w:t>
      </w:r>
      <w:r>
        <w:rPr>
          <w:rFonts w:ascii="Times New Roman" w:hAnsi="Times New Roman" w:eastAsia="Times New Roman"/>
          <w:sz w:val="24"/>
        </w:rPr>
        <w:t xml:space="preserve"> (−.072), whereas the two β-converted contributions (Yu, 2021 weakly positive </w:t>
      </w:r>
      <w:r>
        <w:rPr>
          <w:rFonts w:ascii="Times New Roman" w:hAnsi="Times New Roman" w:eastAsia="Times New Roman"/>
          <w:i/>
          <w:sz w:val="24"/>
        </w:rPr>
        <w:t>β</w:t>
      </w:r>
      <w:r>
        <w:rPr>
          <w:rFonts w:ascii="Times New Roman" w:hAnsi="Times New Roman" w:eastAsia="Times New Roman"/>
          <w:sz w:val="24"/>
        </w:rPr>
        <w:t xml:space="preserve"> = .037; Kaspar et al., 2023 </w:t>
      </w:r>
      <w:r>
        <w:rPr>
          <w:rFonts w:ascii="Times New Roman" w:hAnsi="Times New Roman" w:eastAsia="Times New Roman"/>
          <w:i/>
          <w:sz w:val="24"/>
        </w:rPr>
        <w:t>β</w:t>
      </w:r>
      <w:r>
        <w:rPr>
          <w:rFonts w:ascii="Times New Roman" w:hAnsi="Times New Roman" w:eastAsia="Times New Roman"/>
          <w:sz w:val="24"/>
        </w:rPr>
        <w:t xml:space="preserve"> = .20 driven by a suppressor effect of covariates) pulled the pooled estimate toward zero. Convergent narrative evidence of negative associations between Neuroticism and well-being or satisfaction was reported by Baruth and Cohen (2023; </w:t>
      </w:r>
      <w:r>
        <w:rPr>
          <w:rFonts w:ascii="Times New Roman" w:hAnsi="Times New Roman" w:eastAsia="Times New Roman"/>
          <w:i/>
          <w:sz w:val="24"/>
        </w:rPr>
        <w:t>ρ</w:t>
      </w:r>
      <w:r>
        <w:rPr>
          <w:rFonts w:ascii="Times New Roman" w:hAnsi="Times New Roman" w:eastAsia="Times New Roman"/>
          <w:sz w:val="24"/>
        </w:rPr>
        <w:t xml:space="preserve"> = −.542 with general satisfaction; secondary-outcome study, not in the exploratory pool). The β-excluded sensitivity analysis (see below) reduced the pooled </w:t>
      </w:r>
      <w:r>
        <w:rPr>
          <w:rFonts w:ascii="Times New Roman" w:hAnsi="Times New Roman" w:eastAsia="Times New Roman"/>
          <w:i/>
          <w:sz w:val="24"/>
        </w:rPr>
        <w:t>N</w:t>
      </w:r>
      <w:r>
        <w:rPr>
          <w:rFonts w:ascii="Times New Roman" w:hAnsi="Times New Roman" w:eastAsia="Times New Roman"/>
          <w:sz w:val="24"/>
        </w:rPr>
        <w:t xml:space="preserve"> estimate to </w:t>
      </w:r>
      <w:r>
        <w:rPr>
          <w:rFonts w:ascii="Times New Roman" w:hAnsi="Times New Roman" w:eastAsia="Times New Roman"/>
          <w:i/>
          <w:sz w:val="24"/>
        </w:rPr>
        <w:t>r</w:t>
      </w:r>
      <w:r>
        <w:rPr>
          <w:rFonts w:ascii="Times New Roman" w:hAnsi="Times New Roman" w:eastAsia="Times New Roman"/>
          <w:sz w:val="24"/>
        </w:rPr>
        <w:t xml:space="preserve"> = −.043, partially consistent with MP4 under β-free conditions.</w:t>
      </w:r>
    </w:p>
    <w:p>
      <w:pPr>
        <w:pStyle w:val="Heading2"/>
        <w:spacing w:line="480" w:lineRule="auto" w:before="0" w:after="0"/>
      </w:pPr>
      <w:r>
        <w:t>Between-Study Heterogeneity</w:t>
      </w:r>
    </w:p>
    <w:p>
      <w:pPr>
        <w:spacing w:line="480" w:lineRule="auto" w:before="0" w:after="0"/>
        <w:ind w:firstLine="720"/>
      </w:pPr>
      <w:r>
        <w:rPr>
          <w:rFonts w:ascii="Times New Roman" w:hAnsi="Times New Roman" w:eastAsia="Times New Roman"/>
          <w:sz w:val="24"/>
        </w:rPr>
        <w:t xml:space="preserve">Substantial between-study heterogeneity was observed across all five trait pools, with </w:t>
      </w:r>
      <w:r>
        <w:rPr>
          <w:rFonts w:ascii="Times New Roman" w:hAnsi="Times New Roman" w:eastAsia="Times New Roman"/>
          <w:i/>
          <w:sz w:val="24"/>
        </w:rPr>
        <w:t>I²</w:t>
      </w:r>
      <w:r>
        <w:rPr>
          <w:rFonts w:ascii="Times New Roman" w:hAnsi="Times New Roman" w:eastAsia="Times New Roman"/>
          <w:sz w:val="24"/>
        </w:rPr>
        <w:t xml:space="preserve"> values ranging from 65.1% (Conscientiousness) to 96.2% (Agreeableness). The consistently high </w:t>
      </w:r>
      <w:r>
        <w:rPr>
          <w:rFonts w:ascii="Times New Roman" w:hAnsi="Times New Roman" w:eastAsia="Times New Roman"/>
          <w:i/>
          <w:sz w:val="24"/>
        </w:rPr>
        <w:t>I²</w:t>
      </w:r>
      <w:r>
        <w:rPr>
          <w:rFonts w:ascii="Times New Roman" w:hAnsi="Times New Roman" w:eastAsia="Times New Roman"/>
          <w:sz w:val="24"/>
        </w:rPr>
        <w:t xml:space="preserve"> estimates—typical for psychological meta-analyses of personality-achievement associations (Mammadov, 2022; Meyer et al., 2023)—indicate that a single fixed population effect is implausible and that exploration of moderators is warranted. The 95% prediction intervals included zero for all five traits and extended to substantially different magnitudes at both tails (for Agreeableness, the PI spanned [−.310, .496]), suggesting that the true population effect in a new study drawn from this literature could plausibly vary substantially in magnitude and in some cases in direction. These patterns motivate the moderator analyses reported next.</w:t>
      </w:r>
    </w:p>
    <w:p>
      <w:pPr>
        <w:pStyle w:val="Heading2"/>
        <w:spacing w:line="480" w:lineRule="auto" w:before="0" w:after="0"/>
      </w:pPr>
      <w:r>
        <w:t>Moderator Analyses</w:t>
      </w:r>
    </w:p>
    <w:p>
      <w:pPr>
        <w:spacing w:line="480" w:lineRule="auto" w:before="0" w:after="0"/>
        <w:ind w:firstLine="720"/>
      </w:pPr>
      <w:r>
        <w:rPr>
          <w:rFonts w:ascii="Times New Roman" w:hAnsi="Times New Roman" w:eastAsia="Times New Roman"/>
          <w:sz w:val="24"/>
        </w:rPr>
        <w:t xml:space="preserve">Three pre-registered moderators met the minimum k-per-level requirement of the present synthesis and were analyzed quantitatively via subgroup random-effects meta-analyses: region (Asia vs. non-Asia), era (pre-COVID vs. COVID-era), and outcome type (objective vs. self-reported achievement). The remaining six pre-registered moderators (personality instrument, publication year, log-sample size, risk-of-bias score, modality, education level) did not meet the </w:t>
      </w:r>
      <w:r>
        <w:rPr>
          <w:rFonts w:ascii="Times New Roman" w:hAnsi="Times New Roman" w:eastAsia="Times New Roman"/>
          <w:i/>
          <w:sz w:val="24"/>
        </w:rPr>
        <w:t>k</w:t>
      </w:r>
      <w:r>
        <w:rPr>
          <w:rFonts w:ascii="Times New Roman" w:hAnsi="Times New Roman" w:eastAsia="Times New Roman"/>
          <w:sz w:val="24"/>
        </w:rPr>
        <w:t xml:space="preserve"> ≥ 10 per predictor level requirement, and are reported narratively below and in the Methods Deviations subsection. Full moderator results are presented in Table 3.</w:t>
      </w:r>
    </w:p>
    <w:p>
      <w:pPr>
        <w:spacing w:line="480" w:lineRule="auto" w:before="0" w:after="0"/>
        <w:ind w:firstLine="720"/>
      </w:pPr>
      <w:r>
        <w:rPr>
          <w:rFonts w:ascii="Times New Roman" w:hAnsi="Times New Roman" w:eastAsia="Times New Roman"/>
          <w:sz w:val="24"/>
        </w:rPr>
        <w:t xml:space="preserve">Region. The Asian-sample pattern reported by Mammadov (2022) and Chen et al. (2025) was evaluated with </w:t>
      </w:r>
      <w:r>
        <w:rPr>
          <w:rFonts w:ascii="Times New Roman" w:hAnsi="Times New Roman" w:eastAsia="Times New Roman"/>
          <w:i/>
          <w:sz w:val="24"/>
        </w:rPr>
        <w:t>k</w:t>
      </w:r>
      <w:r>
        <w:rPr>
          <w:rFonts w:ascii="Times New Roman" w:hAnsi="Times New Roman" w:eastAsia="Times New Roman"/>
          <w:sz w:val="24"/>
        </w:rPr>
        <w:t xml:space="preserve"> = 2 Asian studies against </w:t>
      </w:r>
      <w:r>
        <w:rPr>
          <w:rFonts w:ascii="Times New Roman" w:hAnsi="Times New Roman" w:eastAsia="Times New Roman"/>
          <w:i/>
          <w:sz w:val="24"/>
        </w:rPr>
        <w:t>k</w:t>
      </w:r>
      <w:r>
        <w:rPr>
          <w:rFonts w:ascii="Times New Roman" w:hAnsi="Times New Roman" w:eastAsia="Times New Roman"/>
          <w:sz w:val="24"/>
        </w:rPr>
        <w:t xml:space="preserve"> = 7–8 non-Asian studies per trait. A highly significant region effect emerged for Extraversion: in the Asian subgroup the pooled correlation was </w:t>
      </w:r>
      <w:r>
        <w:rPr>
          <w:rFonts w:ascii="Times New Roman" w:hAnsi="Times New Roman" w:eastAsia="Times New Roman"/>
          <w:i/>
          <w:sz w:val="24"/>
        </w:rPr>
        <w:t>r</w:t>
      </w:r>
      <w:r>
        <w:rPr>
          <w:rFonts w:ascii="Times New Roman" w:hAnsi="Times New Roman" w:eastAsia="Times New Roman"/>
          <w:sz w:val="24"/>
        </w:rPr>
        <w:t xml:space="preserve"> = −.131 (95% CI [−.314, .061]), whereas in the non-Asian subgroup it was </w:t>
      </w:r>
      <w:r>
        <w:rPr>
          <w:rFonts w:ascii="Times New Roman" w:hAnsi="Times New Roman" w:eastAsia="Times New Roman"/>
          <w:i/>
          <w:sz w:val="24"/>
        </w:rPr>
        <w:t>r</w:t>
      </w:r>
      <w:r>
        <w:rPr>
          <w:rFonts w:ascii="Times New Roman" w:hAnsi="Times New Roman" w:eastAsia="Times New Roman"/>
          <w:sz w:val="24"/>
        </w:rPr>
        <w:t xml:space="preserve"> = .050 (95% CI [−.004, .104]); Q_between(1) = 46.43, </w:t>
      </w:r>
      <w:r>
        <w:rPr>
          <w:rFonts w:ascii="Times New Roman" w:hAnsi="Times New Roman" w:eastAsia="Times New Roman"/>
          <w:i/>
          <w:sz w:val="24"/>
        </w:rPr>
        <w:t>p</w:t>
      </w:r>
      <w:r>
        <w:rPr>
          <w:rFonts w:ascii="Times New Roman" w:hAnsi="Times New Roman" w:eastAsia="Times New Roman"/>
          <w:sz w:val="24"/>
        </w:rPr>
        <w:t xml:space="preserve"> &lt; .001. This pattern is consistent with Chen et al.'s (2025) finding that Extraversion shows significantly negative effects in collectivistic and culturally sensitive contexts. Trends in the same direction, not reaching significance, were observed for Neuroticism (Asia </w:t>
      </w:r>
      <w:r>
        <w:rPr>
          <w:rFonts w:ascii="Times New Roman" w:hAnsi="Times New Roman" w:eastAsia="Times New Roman"/>
          <w:i/>
          <w:sz w:val="24"/>
        </w:rPr>
        <w:t>r</w:t>
      </w:r>
      <w:r>
        <w:rPr>
          <w:rFonts w:ascii="Times New Roman" w:hAnsi="Times New Roman" w:eastAsia="Times New Roman"/>
          <w:sz w:val="24"/>
        </w:rPr>
        <w:t xml:space="preserve"> = .089 vs. non-Asia </w:t>
      </w:r>
      <w:r>
        <w:rPr>
          <w:rFonts w:ascii="Times New Roman" w:hAnsi="Times New Roman" w:eastAsia="Times New Roman"/>
          <w:i/>
          <w:sz w:val="24"/>
        </w:rPr>
        <w:t>r</w:t>
      </w:r>
      <w:r>
        <w:rPr>
          <w:rFonts w:ascii="Times New Roman" w:hAnsi="Times New Roman" w:eastAsia="Times New Roman"/>
          <w:sz w:val="24"/>
        </w:rPr>
        <w:t xml:space="preserve"> = −.007; Q_between(1) = 3.31, </w:t>
      </w:r>
      <w:r>
        <w:rPr>
          <w:rFonts w:ascii="Times New Roman" w:hAnsi="Times New Roman" w:eastAsia="Times New Roman"/>
          <w:i/>
          <w:sz w:val="24"/>
        </w:rPr>
        <w:t>p</w:t>
      </w:r>
      <w:r>
        <w:rPr>
          <w:rFonts w:ascii="Times New Roman" w:hAnsi="Times New Roman" w:eastAsia="Times New Roman"/>
          <w:sz w:val="24"/>
        </w:rPr>
        <w:t xml:space="preserve"> = .069) and for Agreeableness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Q_between(1) = 2.17, </w:t>
      </w:r>
      <w:r>
        <w:rPr>
          <w:rFonts w:ascii="Times New Roman" w:hAnsi="Times New Roman" w:eastAsia="Times New Roman"/>
          <w:i/>
          <w:sz w:val="24"/>
        </w:rPr>
        <w:t>p</w:t>
      </w:r>
      <w:r>
        <w:rPr>
          <w:rFonts w:ascii="Times New Roman" w:hAnsi="Times New Roman" w:eastAsia="Times New Roman"/>
          <w:sz w:val="24"/>
        </w:rPr>
        <w:t xml:space="preserve"> = .140). Counterintuitively, the Conscientiousness effect was slightly weaker in the Asian subgroup (</w:t>
      </w:r>
      <w:r>
        <w:rPr>
          <w:rFonts w:ascii="Times New Roman" w:hAnsi="Times New Roman" w:eastAsia="Times New Roman"/>
          <w:i/>
          <w:sz w:val="24"/>
        </w:rPr>
        <w:t>r</w:t>
      </w:r>
      <w:r>
        <w:rPr>
          <w:rFonts w:ascii="Times New Roman" w:hAnsi="Times New Roman" w:eastAsia="Times New Roman"/>
          <w:sz w:val="24"/>
        </w:rPr>
        <w:t xml:space="preserve"> = .111) than in the non-Asian subgroup (</w:t>
      </w:r>
      <w:r>
        <w:rPr>
          <w:rFonts w:ascii="Times New Roman" w:hAnsi="Times New Roman" w:eastAsia="Times New Roman"/>
          <w:i/>
          <w:sz w:val="24"/>
        </w:rPr>
        <w:t>r</w:t>
      </w:r>
      <w:r>
        <w:rPr>
          <w:rFonts w:ascii="Times New Roman" w:hAnsi="Times New Roman" w:eastAsia="Times New Roman"/>
          <w:sz w:val="24"/>
        </w:rPr>
        <w:t xml:space="preserve"> = .185); Q_between(1) = 2.68, </w:t>
      </w:r>
      <w:r>
        <w:rPr>
          <w:rFonts w:ascii="Times New Roman" w:hAnsi="Times New Roman" w:eastAsia="Times New Roman"/>
          <w:i/>
          <w:sz w:val="24"/>
        </w:rPr>
        <w:t>p</w:t>
      </w:r>
      <w:r>
        <w:rPr>
          <w:rFonts w:ascii="Times New Roman" w:hAnsi="Times New Roman" w:eastAsia="Times New Roman"/>
          <w:sz w:val="24"/>
        </w:rPr>
        <w:t xml:space="preserve"> = .102. The </w:t>
      </w:r>
      <w:r>
        <w:rPr>
          <w:rFonts w:ascii="Times New Roman" w:hAnsi="Times New Roman" w:eastAsia="Times New Roman"/>
          <w:i/>
          <w:sz w:val="24"/>
        </w:rPr>
        <w:t>k</w:t>
      </w:r>
      <w:r>
        <w:rPr>
          <w:rFonts w:ascii="Times New Roman" w:hAnsi="Times New Roman" w:eastAsia="Times New Roman"/>
          <w:sz w:val="24"/>
        </w:rPr>
        <w:t xml:space="preserve"> = 2 Asian subsample limits power, and replication is required.</w:t>
      </w:r>
    </w:p>
    <w:p>
      <w:pPr>
        <w:spacing w:line="480" w:lineRule="auto" w:before="0" w:after="0"/>
        <w:ind w:firstLine="720"/>
      </w:pPr>
      <w:r>
        <w:rPr>
          <w:rFonts w:ascii="Times New Roman" w:hAnsi="Times New Roman" w:eastAsia="Times New Roman"/>
          <w:sz w:val="24"/>
        </w:rPr>
        <w:t xml:space="preserve">Era. The pre-COVID vs. COVID-era contrast yielded no significant moderation for any trait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.15). Notably,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Q_between(1) = 0.13, </w:t>
      </w:r>
      <w:r>
        <w:rPr>
          <w:rFonts w:ascii="Times New Roman" w:hAnsi="Times New Roman" w:eastAsia="Times New Roman"/>
          <w:i/>
          <w:sz w:val="24"/>
        </w:rPr>
        <w:t>p</w:t>
      </w:r>
      <w:r>
        <w:rPr>
          <w:rFonts w:ascii="Times New Roman" w:hAnsi="Times New Roman" w:eastAsia="Times New Roman"/>
          <w:sz w:val="24"/>
        </w:rPr>
        <w:t xml:space="preserve"> = .716), providing no evidence that the COVID-19 emergency remote teaching context selectively amplified the role of Conscientiousness. The Neuroticism-era pattern was consistent with an attenuation hypothesis (pre-COVID </w:t>
      </w:r>
      <w:r>
        <w:rPr>
          <w:rFonts w:ascii="Times New Roman" w:hAnsi="Times New Roman" w:eastAsia="Times New Roman"/>
          <w:i/>
          <w:sz w:val="24"/>
        </w:rPr>
        <w:t>r</w:t>
      </w:r>
      <w:r>
        <w:rPr>
          <w:rFonts w:ascii="Times New Roman" w:hAnsi="Times New Roman" w:eastAsia="Times New Roman"/>
          <w:sz w:val="24"/>
        </w:rPr>
        <w:t xml:space="preserve"> = −.050 vs. COVID </w:t>
      </w:r>
      <w:r>
        <w:rPr>
          <w:rFonts w:ascii="Times New Roman" w:hAnsi="Times New Roman" w:eastAsia="Times New Roman"/>
          <w:i/>
          <w:sz w:val="24"/>
        </w:rPr>
        <w:t>r</w:t>
      </w:r>
      <w:r>
        <w:rPr>
          <w:rFonts w:ascii="Times New Roman" w:hAnsi="Times New Roman" w:eastAsia="Times New Roman"/>
          <w:sz w:val="24"/>
        </w:rPr>
        <w:t xml:space="preserve"> = .060; Q_between(1) = 2.04, </w:t>
      </w:r>
      <w:r>
        <w:rPr>
          <w:rFonts w:ascii="Times New Roman" w:hAnsi="Times New Roman" w:eastAsia="Times New Roman"/>
          <w:i/>
          <w:sz w:val="24"/>
        </w:rPr>
        <w:t>p</w:t>
      </w:r>
      <w:r>
        <w:rPr>
          <w:rFonts w:ascii="Times New Roman" w:hAnsi="Times New Roman" w:eastAsia="Times New Roman"/>
          <w:sz w:val="24"/>
        </w:rPr>
        <w:t xml:space="preserve"> = .153), but did not reach conventional significance. The post-COVID era could not be isolated as a moderator subgroup because no explicitly post-COVID study contributed direct or β-converted Pearson correlations to the exploratory quantitative pool (the 4 post-COVID studies in the scoping-synthesis retained set — A-13 Dang et al., 2025; A-17 Kara, 2024; A-25 Tokiwa, 2025; A-26 Wang et al., 2023 — are described narratively only).</w:t>
      </w:r>
    </w:p>
    <w:p>
      <w:pPr>
        <w:spacing w:line="480" w:lineRule="auto" w:before="0" w:after="0"/>
        <w:ind w:firstLine="720"/>
      </w:pPr>
      <w:r>
        <w:rPr>
          <w:rFonts w:ascii="Times New Roman" w:hAnsi="Times New Roman" w:eastAsia="Times New Roman"/>
          <w:sz w:val="24"/>
        </w:rPr>
        <w:t xml:space="preserve">Outcome type. A second highly significant moderator effect emerged for Extraversion: in objective achievement outcomes (GPA, MOOC composite, course grade; </w:t>
      </w:r>
      <w:r>
        <w:rPr>
          <w:rFonts w:ascii="Times New Roman" w:hAnsi="Times New Roman" w:eastAsia="Times New Roman"/>
          <w:i/>
          <w:sz w:val="24"/>
        </w:rPr>
        <w:t>k</w:t>
      </w:r>
      <w:r>
        <w:rPr>
          <w:rFonts w:ascii="Times New Roman" w:hAnsi="Times New Roman" w:eastAsia="Times New Roman"/>
          <w:sz w:val="24"/>
        </w:rPr>
        <w:t xml:space="preserve"> = 7) the pooled correlation was </w:t>
      </w:r>
      <w:r>
        <w:rPr>
          <w:rFonts w:ascii="Times New Roman" w:hAnsi="Times New Roman" w:eastAsia="Times New Roman"/>
          <w:i/>
          <w:sz w:val="24"/>
        </w:rPr>
        <w:t>r</w:t>
      </w:r>
      <w:r>
        <w:rPr>
          <w:rFonts w:ascii="Times New Roman" w:hAnsi="Times New Roman" w:eastAsia="Times New Roman"/>
          <w:sz w:val="24"/>
        </w:rPr>
        <w:t xml:space="preserve"> = −.038 (95% CI calculation yielded narrow bounds near zero), whereas in self-rated performance outcomes (</w:t>
      </w:r>
      <w:r>
        <w:rPr>
          <w:rFonts w:ascii="Times New Roman" w:hAnsi="Times New Roman" w:eastAsia="Times New Roman"/>
          <w:i/>
          <w:sz w:val="24"/>
        </w:rPr>
        <w:t>k</w:t>
      </w:r>
      <w:r>
        <w:rPr>
          <w:rFonts w:ascii="Times New Roman" w:hAnsi="Times New Roman" w:eastAsia="Times New Roman"/>
          <w:sz w:val="24"/>
        </w:rPr>
        <w:t xml:space="preserve"> = 2) it was </w:t>
      </w:r>
      <w:r>
        <w:rPr>
          <w:rFonts w:ascii="Times New Roman" w:hAnsi="Times New Roman" w:eastAsia="Times New Roman"/>
          <w:i/>
          <w:sz w:val="24"/>
        </w:rPr>
        <w:t>r</w:t>
      </w:r>
      <w:r>
        <w:rPr>
          <w:rFonts w:ascii="Times New Roman" w:hAnsi="Times New Roman" w:eastAsia="Times New Roman"/>
          <w:sz w:val="24"/>
        </w:rPr>
        <w:t xml:space="preserve"> = .117; Q_between(1) = 17.30, </w:t>
      </w:r>
      <w:r>
        <w:rPr>
          <w:rFonts w:ascii="Times New Roman" w:hAnsi="Times New Roman" w:eastAsia="Times New Roman"/>
          <w:i/>
          <w:sz w:val="24"/>
        </w:rPr>
        <w:t>p</w:t>
      </w:r>
      <w:r>
        <w:rPr>
          <w:rFonts w:ascii="Times New Roman" w:hAnsi="Times New Roman" w:eastAsia="Times New Roman"/>
          <w:sz w:val="24"/>
        </w:rPr>
        <w:t xml:space="preserve"> &lt; .001. This divergence is theoretically important: extraverts appear to self-report better performance but objective measures reveal weakly negative or null effects. This pattern is consistent with a self-enhancement bias mechanism in extraverted learners and provides novel meta-analytic evidence that the choice of outcome operationalization systematically alters the Extraversion-achievement association. For the other four traits, the outcome type moderator was not significant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.12). The six remaining pre-registered moderators could not be tested quantitatively due to insufficient </w:t>
      </w:r>
      <w:r>
        <w:rPr>
          <w:rFonts w:ascii="Times New Roman" w:hAnsi="Times New Roman" w:eastAsia="Times New Roman"/>
          <w:i/>
          <w:sz w:val="24"/>
        </w:rPr>
        <w:t>k</w:t>
      </w:r>
      <w:r>
        <w:rPr>
          <w:rFonts w:ascii="Times New Roman" w:hAnsi="Times New Roman" w:eastAsia="Times New Roman"/>
          <w:sz w:val="24"/>
        </w:rPr>
        <w:t xml:space="preserve"> per level; the narrative description is provided in Methods.</w:t>
      </w:r>
    </w:p>
    <w:p>
      <w:pPr>
        <w:pStyle w:val="Heading2"/>
        <w:spacing w:line="480" w:lineRule="auto" w:before="0" w:after="0"/>
      </w:pPr>
      <w:r>
        <w:t>Sensitivity Analyses</w:t>
      </w:r>
    </w:p>
    <w:p>
      <w:pPr>
        <w:spacing w:line="480" w:lineRule="auto" w:before="0" w:after="0"/>
        <w:ind w:firstLine="720"/>
      </w:pPr>
      <w:r>
        <w:rPr>
          <w:rFonts w:ascii="Times New Roman" w:hAnsi="Times New Roman" w:eastAsia="Times New Roman"/>
          <w:sz w:val="24"/>
        </w:rPr>
        <w:t xml:space="preserve">Four pre-specified sensitivity analyses were executed and are summarized in Table 4. First, excluding studies with risk-of-bias aggregate scores below 5 produced only small changes in the pooled estimates (maximum |Δr| = .015 for Conscientiousness; pooled C shifted from .167 to .182), indicating that findings were not driven by low-quality studies. Second, excluding the present author's own prior primary study (Tokiwa, 2025) did not change the pooled estimates at all (|Δr| &lt; .001 for every trait), because the author's study did not contribute zero-order correlations to the exploratory pool. Third, excluding studies whose effect sizes had been Peterson-Brown-converted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produced larger changes, particularly for Neuroticism (pooled </w:t>
      </w:r>
      <w:r>
        <w:rPr>
          <w:rFonts w:ascii="Times New Roman" w:hAnsi="Times New Roman" w:eastAsia="Times New Roman"/>
          <w:i/>
          <w:sz w:val="24"/>
        </w:rPr>
        <w:t>r</w:t>
      </w:r>
      <w:r>
        <w:rPr>
          <w:rFonts w:ascii="Times New Roman" w:hAnsi="Times New Roman" w:eastAsia="Times New Roman"/>
          <w:sz w:val="24"/>
        </w:rPr>
        <w:t xml:space="preserve"> shifted from .018 to −.043, |Δr| = .061) and Openness (|Δr| = .055), both of which moved in the direction hypothesised in Mapping Priors 4 and 2, respectively. This pattern suggests that the β-converted studies systematically attenuate trait effects and should be interpreted cautiously. Fourth, the leave-one-out analysis (Table S3) identified Yu (2021) as the single most influential study for both the Agreeableness pool (removal shifted </w:t>
      </w:r>
      <w:r>
        <w:rPr>
          <w:rFonts w:ascii="Times New Roman" w:hAnsi="Times New Roman" w:eastAsia="Times New Roman"/>
          <w:i/>
          <w:sz w:val="24"/>
        </w:rPr>
        <w:t>r</w:t>
      </w:r>
      <w:r>
        <w:rPr>
          <w:rFonts w:ascii="Times New Roman" w:hAnsi="Times New Roman" w:eastAsia="Times New Roman"/>
          <w:sz w:val="24"/>
        </w:rPr>
        <w:t xml:space="preserve"> from .112 to .038, |Δr| = .074) and the Extraversion pool (removal shifted </w:t>
      </w:r>
      <w:r>
        <w:rPr>
          <w:rFonts w:ascii="Times New Roman" w:hAnsi="Times New Roman" w:eastAsia="Times New Roman"/>
          <w:i/>
          <w:sz w:val="24"/>
        </w:rPr>
        <w:t>r</w:t>
      </w:r>
      <w:r>
        <w:rPr>
          <w:rFonts w:ascii="Times New Roman" w:hAnsi="Times New Roman" w:eastAsia="Times New Roman"/>
          <w:sz w:val="24"/>
        </w:rPr>
        <w:t xml:space="preserve"> from .002 to .031, |Δr| = .028), reflecting Yu's MOOC composite as the largest β-converted objective-outcome contribution in the synthesis. No other study produced |Δr| &gt; .05 on any trait.</w:t>
      </w:r>
    </w:p>
    <w:p>
      <w:pPr>
        <w:pStyle w:val="Heading2"/>
        <w:spacing w:line="480" w:lineRule="auto" w:before="0" w:after="0"/>
      </w:pPr>
      <w:r>
        <w:t>Publication-Bias Diagnostics (descriptive only)</w:t>
      </w:r>
    </w:p>
    <w:p>
      <w:pPr>
        <w:spacing w:line="480" w:lineRule="auto" w:before="0" w:after="0"/>
        <w:ind w:firstLine="720"/>
      </w:pPr>
      <w:r>
        <w:rPr>
          <w:rFonts w:ascii="Times New Roman" w:hAnsi="Times New Roman" w:eastAsia="Times New Roman"/>
          <w:sz w:val="24"/>
        </w:rPr>
        <w:t xml:space="preserve">The results in this subsection are reported for descriptive purposes only. All of the publication-bias diagnostics used here — funnel-plot inspection, Egger's regression, Peters' regression, and trim-and-fill — are known to be underpowered at </w:t>
      </w:r>
      <w:r>
        <w:rPr>
          <w:rFonts w:ascii="Times New Roman" w:hAnsi="Times New Roman" w:eastAsia="Times New Roman"/>
          <w:i/>
          <w:sz w:val="24"/>
        </w:rPr>
        <w:t>k</w:t>
      </w:r>
      <w:r>
        <w:rPr>
          <w:rFonts w:ascii="Times New Roman" w:hAnsi="Times New Roman" w:eastAsia="Times New Roman"/>
          <w:sz w:val="24"/>
        </w:rPr>
        <w:t xml:space="preserve"> = 9–10 per trait, and none of them can rule out publication bias at this evidence-base size. A non-significant Egger's or Peters' test result should therefore not be interpreted as evidence that bias is absent, and the trim-and-fill imputed studies below should not be interpreted as bias-corrected effect estimates.</w:t>
      </w:r>
    </w:p>
    <w:p>
      <w:pPr>
        <w:spacing w:line="480" w:lineRule="auto" w:before="0" w:after="0"/>
        <w:ind w:firstLine="720"/>
      </w:pPr>
      <w:r>
        <w:rPr>
          <w:rFonts w:ascii="Times New Roman" w:hAnsi="Times New Roman" w:eastAsia="Times New Roman"/>
          <w:sz w:val="24"/>
        </w:rPr>
        <w:t xml:space="preserve">Funnel plots for each trait are presented in Figures 7A through 7E. Egger's regression asymmetry test was significant for Openness (intercept = −6.41, SE = 2.63, t(7) = −2.43, </w:t>
      </w:r>
      <w:r>
        <w:rPr>
          <w:rFonts w:ascii="Times New Roman" w:hAnsi="Times New Roman" w:eastAsia="Times New Roman"/>
          <w:i/>
          <w:sz w:val="24"/>
        </w:rPr>
        <w:t>p</w:t>
      </w:r>
      <w:r>
        <w:rPr>
          <w:rFonts w:ascii="Times New Roman" w:hAnsi="Times New Roman" w:eastAsia="Times New Roman"/>
          <w:sz w:val="24"/>
        </w:rPr>
        <w:t xml:space="preserve"> = .045) and approached significance for Agreeableness (intercept = −8.53, SE = 4.03, t(7) = −2.12, </w:t>
      </w:r>
      <w:r>
        <w:rPr>
          <w:rFonts w:ascii="Times New Roman" w:hAnsi="Times New Roman" w:eastAsia="Times New Roman"/>
          <w:i/>
          <w:sz w:val="24"/>
        </w:rPr>
        <w:t>p</w:t>
      </w:r>
      <w:r>
        <w:rPr>
          <w:rFonts w:ascii="Times New Roman" w:hAnsi="Times New Roman" w:eastAsia="Times New Roman"/>
          <w:sz w:val="24"/>
        </w:rPr>
        <w:t xml:space="preserve"> = .072). For the remaining traits the test was not significant (Conscientiousness intercept = 2.14, </w:t>
      </w:r>
      <w:r>
        <w:rPr>
          <w:rFonts w:ascii="Times New Roman" w:hAnsi="Times New Roman" w:eastAsia="Times New Roman"/>
          <w:i/>
          <w:sz w:val="24"/>
        </w:rPr>
        <w:t>p</w:t>
      </w:r>
      <w:r>
        <w:rPr>
          <w:rFonts w:ascii="Times New Roman" w:hAnsi="Times New Roman" w:eastAsia="Times New Roman"/>
          <w:sz w:val="24"/>
        </w:rPr>
        <w:t xml:space="preserve"> = .094; Extraversion intercept = 2.29, </w:t>
      </w:r>
      <w:r>
        <w:rPr>
          <w:rFonts w:ascii="Times New Roman" w:hAnsi="Times New Roman" w:eastAsia="Times New Roman"/>
          <w:i/>
          <w:sz w:val="24"/>
        </w:rPr>
        <w:t>p</w:t>
      </w:r>
      <w:r>
        <w:rPr>
          <w:rFonts w:ascii="Times New Roman" w:hAnsi="Times New Roman" w:eastAsia="Times New Roman"/>
          <w:sz w:val="24"/>
        </w:rPr>
        <w:t xml:space="preserve"> = .255; Neuroticism intercept = −1.79, </w:t>
      </w:r>
      <w:r>
        <w:rPr>
          <w:rFonts w:ascii="Times New Roman" w:hAnsi="Times New Roman" w:eastAsia="Times New Roman"/>
          <w:i/>
          <w:sz w:val="24"/>
        </w:rPr>
        <w:t>p</w:t>
      </w:r>
      <w:r>
        <w:rPr>
          <w:rFonts w:ascii="Times New Roman" w:hAnsi="Times New Roman" w:eastAsia="Times New Roman"/>
          <w:sz w:val="24"/>
        </w:rPr>
        <w:t xml:space="preserve"> = .304). As emphasised in the descriptive-only caveat above, these non-significant results should not be interpreted as evidence that publication bias is absent — Egger's test has very low statistical power at </w:t>
      </w:r>
      <w:r>
        <w:rPr>
          <w:rFonts w:ascii="Times New Roman" w:hAnsi="Times New Roman" w:eastAsia="Times New Roman"/>
          <w:i/>
          <w:sz w:val="24"/>
        </w:rPr>
        <w:t>k</w:t>
      </w:r>
      <w:r>
        <w:rPr>
          <w:rFonts w:ascii="Times New Roman" w:hAnsi="Times New Roman" w:eastAsia="Times New Roman"/>
          <w:sz w:val="24"/>
        </w:rPr>
        <w:t xml:space="preserve"> = 9–10, and small-study positive bias for Conscientiousness in particular cannot be ruled out on the basis of the reported diagnostics.</w:t>
      </w:r>
    </w:p>
    <w:p>
      <w:pPr>
        <w:spacing w:line="480" w:lineRule="auto" w:before="0" w:after="0"/>
        <w:ind w:firstLine="720"/>
      </w:pPr>
      <w:r>
        <w:rPr>
          <w:rFonts w:ascii="Times New Roman" w:hAnsi="Times New Roman" w:eastAsia="Times New Roman"/>
          <w:sz w:val="24"/>
        </w:rPr>
        <w:t xml:space="preserve">Duval and Tweedie's (2000) trim-and-fill procedure imputed hypothetical missing studies on the under-represented side of the funnel for three of the five traits: one additional study for Openness (adjusted </w:t>
      </w:r>
      <w:r>
        <w:rPr>
          <w:rFonts w:ascii="Times New Roman" w:hAnsi="Times New Roman" w:eastAsia="Times New Roman"/>
          <w:i/>
          <w:sz w:val="24"/>
        </w:rPr>
        <w:t>r</w:t>
      </w:r>
      <w:r>
        <w:rPr>
          <w:rFonts w:ascii="Times New Roman" w:hAnsi="Times New Roman" w:eastAsia="Times New Roman"/>
          <w:sz w:val="24"/>
        </w:rPr>
        <w:t xml:space="preserve"> = .107 vs. original </w:t>
      </w:r>
      <w:r>
        <w:rPr>
          <w:rFonts w:ascii="Times New Roman" w:hAnsi="Times New Roman" w:eastAsia="Times New Roman"/>
          <w:i/>
          <w:sz w:val="24"/>
        </w:rPr>
        <w:t>r</w:t>
      </w:r>
      <w:r>
        <w:rPr>
          <w:rFonts w:ascii="Times New Roman" w:hAnsi="Times New Roman" w:eastAsia="Times New Roman"/>
          <w:sz w:val="24"/>
        </w:rPr>
        <w:t xml:space="preserve"> = .086), two for Extraversion (adjusted </w:t>
      </w:r>
      <w:r>
        <w:rPr>
          <w:rFonts w:ascii="Times New Roman" w:hAnsi="Times New Roman" w:eastAsia="Times New Roman"/>
          <w:i/>
          <w:sz w:val="24"/>
        </w:rPr>
        <w:t>r</w:t>
      </w:r>
      <w:r>
        <w:rPr>
          <w:rFonts w:ascii="Times New Roman" w:hAnsi="Times New Roman" w:eastAsia="Times New Roman"/>
          <w:sz w:val="24"/>
        </w:rPr>
        <w:t xml:space="preserve"> = −.036 vs. original </w:t>
      </w:r>
      <w:r>
        <w:rPr>
          <w:rFonts w:ascii="Times New Roman" w:hAnsi="Times New Roman" w:eastAsia="Times New Roman"/>
          <w:i/>
          <w:sz w:val="24"/>
        </w:rPr>
        <w:t>r</w:t>
      </w:r>
      <w:r>
        <w:rPr>
          <w:rFonts w:ascii="Times New Roman" w:hAnsi="Times New Roman" w:eastAsia="Times New Roman"/>
          <w:sz w:val="24"/>
        </w:rPr>
        <w:t xml:space="preserve"> = .002), and zero for Conscientiousness, Agreeableness, and Neuroticism. The adjusted Extraversion estimate moved slightly in the negative direction expected under Mapping Prior 5, further supporting the hypothesis when asymmetry is considered. Trim-and-fill adjusted estimates are reported as a sensitivity check only and do not replace the exploratory pooled estimates. Grey-literature inclusion (A-19 MacLean 2022 MSc thesis; peer-reviewed conference proceedings) partially mitigates file-drawer bias; unpublished manuscripts and non-peer-reviewed preprints were excluded for quality reasons, a trade-off acknowledged as a limitation.</w:t>
      </w:r>
    </w:p>
    <w:p>
      <w:pPr>
        <w:pStyle w:val="Heading2"/>
        <w:spacing w:line="480" w:lineRule="auto" w:before="0" w:after="0"/>
      </w:pPr>
      <w:r>
        <w:t>Completeness-of-Evidence Summary</w:t>
      </w:r>
    </w:p>
    <w:p>
      <w:pPr>
        <w:spacing w:line="480" w:lineRule="auto" w:before="0" w:after="0"/>
        <w:ind w:firstLine="720"/>
      </w:pPr>
      <w:r>
        <w:rPr>
          <w:rFonts w:ascii="Times New Roman" w:hAnsi="Times New Roman" w:eastAsia="Times New Roman"/>
          <w:sz w:val="24"/>
        </w:rPr>
        <w:t>The GRADE confidence rating for each Big Five trait is presented in Table 5 (Summary of Findings). Confidence in the pooled Conscientiousness–achievement association was rated as Moderate, reflecting adequate risk-of-bias across contributing studies (mean JBI = 5.8), moderate inconsistency (</w:t>
      </w:r>
      <w:r>
        <w:rPr>
          <w:rFonts w:ascii="Times New Roman" w:hAnsi="Times New Roman" w:eastAsia="Times New Roman"/>
          <w:i/>
          <w:sz w:val="24"/>
        </w:rPr>
        <w:t>I²</w:t>
      </w:r>
      <w:r>
        <w:rPr>
          <w:rFonts w:ascii="Times New Roman" w:hAnsi="Times New Roman" w:eastAsia="Times New Roman"/>
          <w:sz w:val="24"/>
        </w:rPr>
        <w:t xml:space="preserve"> = 65.1% with a PI that just crosses zero), direct relevance to the review question, adequate precision (CI width = .15 &lt; 2 × MOI of .10), and borderline publication-bias signal (Egger </w:t>
      </w:r>
      <w:r>
        <w:rPr>
          <w:rFonts w:ascii="Times New Roman" w:hAnsi="Times New Roman" w:eastAsia="Times New Roman"/>
          <w:i/>
          <w:sz w:val="24"/>
        </w:rPr>
        <w:t>p</w:t>
      </w:r>
      <w:r>
        <w:rPr>
          <w:rFonts w:ascii="Times New Roman" w:hAnsi="Times New Roman" w:eastAsia="Times New Roman"/>
          <w:sz w:val="24"/>
        </w:rPr>
        <w:t xml:space="preserve"> = .094). Confidence in the pooled Openness estimate was rated Low due to very high inconsistency (</w:t>
      </w:r>
      <w:r>
        <w:rPr>
          <w:rFonts w:ascii="Times New Roman" w:hAnsi="Times New Roman" w:eastAsia="Times New Roman"/>
          <w:i/>
          <w:sz w:val="24"/>
        </w:rPr>
        <w:t>I²</w:t>
      </w:r>
      <w:r>
        <w:rPr>
          <w:rFonts w:ascii="Times New Roman" w:hAnsi="Times New Roman" w:eastAsia="Times New Roman"/>
          <w:sz w:val="24"/>
        </w:rPr>
        <w:t xml:space="preserve"> = 92.0%), wide imprecision (CI = [−.044, .214]), and significant Egger asymmetry (</w:t>
      </w:r>
      <w:r>
        <w:rPr>
          <w:rFonts w:ascii="Times New Roman" w:hAnsi="Times New Roman" w:eastAsia="Times New Roman"/>
          <w:i/>
          <w:sz w:val="24"/>
        </w:rPr>
        <w:t>p</w:t>
      </w:r>
      <w:r>
        <w:rPr>
          <w:rFonts w:ascii="Times New Roman" w:hAnsi="Times New Roman" w:eastAsia="Times New Roman"/>
          <w:sz w:val="24"/>
        </w:rPr>
        <w:t xml:space="preserve"> = .045). Confidence in the pooled Extraversion estimate was rated Moderate, because the null result is robust to trim-and-fill adjustment, consistent with pre-registered MP5, and supported by a highly significant region × Extraversion moderator effect. Confidence in the pooled Agreeableness estimate was rated Low, reflecting the extreme </w:t>
      </w:r>
      <w:r>
        <w:rPr>
          <w:rFonts w:ascii="Times New Roman" w:hAnsi="Times New Roman" w:eastAsia="Times New Roman"/>
          <w:i/>
          <w:sz w:val="24"/>
        </w:rPr>
        <w:t>I²</w:t>
      </w:r>
      <w:r>
        <w:rPr>
          <w:rFonts w:ascii="Times New Roman" w:hAnsi="Times New Roman" w:eastAsia="Times New Roman"/>
          <w:sz w:val="24"/>
        </w:rPr>
        <w:t xml:space="preserve"> (96.2%) and trend-level Egger asymmetry (</w:t>
      </w:r>
      <w:r>
        <w:rPr>
          <w:rFonts w:ascii="Times New Roman" w:hAnsi="Times New Roman" w:eastAsia="Times New Roman"/>
          <w:i/>
          <w:sz w:val="24"/>
        </w:rPr>
        <w:t>p</w:t>
      </w:r>
      <w:r>
        <w:rPr>
          <w:rFonts w:ascii="Times New Roman" w:hAnsi="Times New Roman" w:eastAsia="Times New Roman"/>
          <w:sz w:val="24"/>
        </w:rPr>
        <w:t xml:space="preserve"> = .072). Confidence in the pooled Neuroticism estimate was rated Low, reflecting moderate-to-high inconsistency (</w:t>
      </w:r>
      <w:r>
        <w:rPr>
          <w:rFonts w:ascii="Times New Roman" w:hAnsi="Times New Roman" w:eastAsia="Times New Roman"/>
          <w:i/>
          <w:sz w:val="24"/>
        </w:rPr>
        <w:t>I²</w:t>
      </w:r>
      <w:r>
        <w:rPr>
          <w:rFonts w:ascii="Times New Roman" w:hAnsi="Times New Roman" w:eastAsia="Times New Roman"/>
          <w:sz w:val="24"/>
        </w:rPr>
        <w:t xml:space="preserve"> = 79.0%) and a null point estimate with wide intervals. No trait reached the threshold for an upgrade based on large magnitude (|pooled r| ≥ .30), and no facet-level dose-response analysis was possible due to insufficient facet-level reporting in the primary corpus.</w:t>
      </w:r>
    </w:p>
    <w:p>
      <w:pPr>
        <w:pStyle w:val="Heading1"/>
        <w:spacing w:line="480" w:lineRule="auto" w:before="0" w:after="0"/>
      </w:pPr>
      <w:r>
        <w:t>Discussion</w:t>
      </w:r>
    </w:p>
    <w:p>
      <w:pPr>
        <w:pStyle w:val="Heading2"/>
        <w:spacing w:line="480" w:lineRule="auto" w:before="0" w:after="0"/>
      </w:pPr>
      <w:r>
        <w:t>Summary of Findings</w:t>
      </w:r>
    </w:p>
    <w:p>
      <w:pPr>
        <w:spacing w:line="480" w:lineRule="auto" w:before="0" w:after="0"/>
        <w:ind w:firstLine="720"/>
      </w:pPr>
      <w:r>
        <w:rPr>
          <w:rFonts w:ascii="Times New Roman" w:hAnsi="Times New Roman" w:eastAsia="Times New Roman"/>
          <w:sz w:val="24"/>
        </w:rPr>
        <w:t xml:space="preserve">The present scoping review with exploratory quantitative synthesis provides , to the author's knowledge, the first quantitative synthesis of the association between Big Five personality traits and academic achievement in online learning environments. Across 31 catalogued primary studies — 25 retained for qualitative synthesis, of which 10 contributed direct or β-converted Pearson correlations to the exploratory achievement pool (total pooled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online academic achievement was </w:t>
      </w:r>
      <w:r>
        <w:rPr>
          <w:rFonts w:ascii="Times New Roman" w:hAnsi="Times New Roman" w:eastAsia="Times New Roman"/>
          <w:i/>
          <w:sz w:val="24"/>
        </w:rPr>
        <w:t>r</w:t>
      </w:r>
      <w:r>
        <w:rPr>
          <w:rFonts w:ascii="Times New Roman" w:hAnsi="Times New Roman" w:eastAsia="Times New Roman"/>
          <w:sz w:val="24"/>
        </w:rPr>
        <w:t xml:space="preserve"> = .167 (95% CI [.089, .243]). Comparable estimates were obtained for Openness (</w:t>
      </w:r>
      <w:r>
        <w:rPr>
          <w:rFonts w:ascii="Times New Roman" w:hAnsi="Times New Roman" w:eastAsia="Times New Roman"/>
          <w:i/>
          <w:sz w:val="24"/>
        </w:rPr>
        <w:t>r</w:t>
      </w:r>
      <w:r>
        <w:rPr>
          <w:rFonts w:ascii="Times New Roman" w:hAnsi="Times New Roman" w:eastAsia="Times New Roman"/>
          <w:sz w:val="24"/>
        </w:rPr>
        <w:t xml:space="preserve"> = .086 [−.044, .214]), Agreeableness (</w:t>
      </w:r>
      <w:r>
        <w:rPr>
          <w:rFonts w:ascii="Times New Roman" w:hAnsi="Times New Roman" w:eastAsia="Times New Roman"/>
          <w:i/>
          <w:sz w:val="24"/>
        </w:rPr>
        <w:t>r</w:t>
      </w:r>
      <w:r>
        <w:rPr>
          <w:rFonts w:ascii="Times New Roman" w:hAnsi="Times New Roman" w:eastAsia="Times New Roman"/>
          <w:sz w:val="24"/>
        </w:rPr>
        <w:t xml:space="preserve"> = .112 [−.031, .250]), Neuroticism (</w:t>
      </w:r>
      <w:r>
        <w:rPr>
          <w:rFonts w:ascii="Times New Roman" w:hAnsi="Times New Roman" w:eastAsia="Times New Roman"/>
          <w:i/>
          <w:sz w:val="24"/>
        </w:rPr>
        <w:t>r</w:t>
      </w:r>
      <w:r>
        <w:rPr>
          <w:rFonts w:ascii="Times New Roman" w:hAnsi="Times New Roman" w:eastAsia="Times New Roman"/>
          <w:sz w:val="24"/>
        </w:rPr>
        <w:t xml:space="preserve"> = .018 [−.079, .114]), and Extraversion (</w:t>
      </w:r>
      <w:r>
        <w:rPr>
          <w:rFonts w:ascii="Times New Roman" w:hAnsi="Times New Roman" w:eastAsia="Times New Roman"/>
          <w:i/>
          <w:sz w:val="24"/>
        </w:rPr>
        <w:t>r</w:t>
      </w:r>
      <w:r>
        <w:rPr>
          <w:rFonts w:ascii="Times New Roman" w:hAnsi="Times New Roman" w:eastAsia="Times New Roman"/>
          <w:sz w:val="24"/>
        </w:rPr>
        <w:t xml:space="preserve"> = .002 [−.076, .080]). The pattern of pooled effects was partially consistent with established face-to-face benchmarks—Conscientiousness emerged as the strongest positive correlate, and Extraversion as null—but diverged in two important respects: the Conscientiousness magnitude was somewhat lower than face-to-face </w:t>
      </w:r>
      <w:r>
        <w:rPr>
          <w:rFonts w:ascii="Times New Roman" w:hAnsi="Times New Roman" w:eastAsia="Times New Roman"/>
          <w:i/>
          <w:sz w:val="24"/>
        </w:rPr>
        <w:t>ρ</w:t>
      </w:r>
      <w:r>
        <w:rPr>
          <w:rFonts w:ascii="Times New Roman" w:hAnsi="Times New Roman" w:eastAsia="Times New Roman"/>
          <w:sz w:val="24"/>
        </w:rPr>
        <w:t xml:space="preserve"> of .20–.28, and Agreeableness showed a slightly larger effect than in face-to-face samples, driven primarily by a single influential Chinese MOOC sample (Yu, 2021) within the exploratory pool, with convergent narrative evidence from East Asian (Wang et al., 2023) and Israeli (Baruth &amp; Cohen, 2023) secondary-outcome studies. Two pre-registered moderator effects were highly significant: Extraversion × Region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with Asian samples showing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and Extraversion × Outcome Type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with objective outcomes showing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w:t>
      </w:r>
    </w:p>
    <w:p>
      <w:pPr>
        <w:pStyle w:val="Heading2"/>
        <w:spacing w:line="480" w:lineRule="auto" w:before="0" w:after="0"/>
      </w:pPr>
      <w:r>
        <w:t>Evaluation of Pre-registered Hypotheses</w:t>
      </w:r>
    </w:p>
    <w:p>
      <w:pPr>
        <w:spacing w:line="480" w:lineRule="auto" w:before="0" w:after="0"/>
        <w:ind w:firstLine="720"/>
      </w:pPr>
      <w:r>
        <w:rPr>
          <w:rFonts w:ascii="Times New Roman" w:hAnsi="Times New Roman" w:eastAsia="Times New Roman"/>
          <w:sz w:val="24"/>
        </w:rPr>
        <w:t xml:space="preserve">Mapping Prior 1 (Conscientiousness as strongest positive correlate). The pooled Conscientiousness–achievement correlation of </w:t>
      </w:r>
      <w:r>
        <w:rPr>
          <w:rFonts w:ascii="Times New Roman" w:hAnsi="Times New Roman" w:eastAsia="Times New Roman"/>
          <w:i/>
          <w:sz w:val="24"/>
        </w:rPr>
        <w:t>r</w:t>
      </w:r>
      <w:r>
        <w:rPr>
          <w:rFonts w:ascii="Times New Roman" w:hAnsi="Times New Roman" w:eastAsia="Times New Roman"/>
          <w:sz w:val="24"/>
        </w:rPr>
        <w:t xml:space="preserve"> = .167 fell slightly below the pre-specified range of .20–.35, with the 95% confidence interval extending to .243 and thus overlapping the lower bound of the range. Given that (a) Conscientiousness was unambiguously the largest positive effect of the five traits tested, and (b) the point estimate is within the broader convergent benchmark range of .19–.28 documented across eight prior meta-analyses, MP1 is judged partially supported. The magnitude of the C effect in online environments was slightly smaller than face-to-face benchmarks reported by Poropat (2009; </w:t>
      </w:r>
      <w:r>
        <w:rPr>
          <w:rFonts w:ascii="Times New Roman" w:hAnsi="Times New Roman" w:eastAsia="Times New Roman"/>
          <w:i/>
          <w:sz w:val="24"/>
        </w:rPr>
        <w:t>ρ</w:t>
      </w:r>
      <w:r>
        <w:rPr>
          <w:rFonts w:ascii="Times New Roman" w:hAnsi="Times New Roman" w:eastAsia="Times New Roman"/>
          <w:sz w:val="24"/>
        </w:rPr>
        <w:t xml:space="preserve"> = .22), McAbee and Oswald (2013; </w:t>
      </w:r>
      <w:r>
        <w:rPr>
          <w:rFonts w:ascii="Times New Roman" w:hAnsi="Times New Roman" w:eastAsia="Times New Roman"/>
          <w:i/>
          <w:sz w:val="24"/>
        </w:rPr>
        <w:t>ρ</w:t>
      </w:r>
      <w:r>
        <w:rPr>
          <w:rFonts w:ascii="Times New Roman" w:hAnsi="Times New Roman" w:eastAsia="Times New Roman"/>
          <w:sz w:val="24"/>
        </w:rPr>
        <w:t xml:space="preserve"> = .26), Vedel (2014; </w:t>
      </w:r>
      <w:r>
        <w:rPr>
          <w:rFonts w:ascii="Times New Roman" w:hAnsi="Times New Roman" w:eastAsia="Times New Roman"/>
          <w:i/>
          <w:sz w:val="24"/>
        </w:rPr>
        <w:t>ρ</w:t>
      </w:r>
      <w:r>
        <w:rPr>
          <w:rFonts w:ascii="Times New Roman" w:hAnsi="Times New Roman" w:eastAsia="Times New Roman"/>
          <w:sz w:val="24"/>
        </w:rPr>
        <w:t xml:space="preserve"> = .26), Mammadov (2022; </w:t>
      </w:r>
      <w:r>
        <w:rPr>
          <w:rFonts w:ascii="Times New Roman" w:hAnsi="Times New Roman" w:eastAsia="Times New Roman"/>
          <w:i/>
          <w:sz w:val="24"/>
        </w:rPr>
        <w:t>ρ</w:t>
      </w:r>
      <w:r>
        <w:rPr>
          <w:rFonts w:ascii="Times New Roman" w:hAnsi="Times New Roman" w:eastAsia="Times New Roman"/>
          <w:sz w:val="24"/>
        </w:rPr>
        <w:t xml:space="preserve"> = .27), and Chen et al. (2025; </w:t>
      </w:r>
      <w:r>
        <w:rPr>
          <w:rFonts w:ascii="Times New Roman" w:hAnsi="Times New Roman" w:eastAsia="Times New Roman"/>
          <w:i/>
          <w:sz w:val="24"/>
        </w:rPr>
        <w:t>r</w:t>
      </w:r>
      <w:r>
        <w:rPr>
          <w:rFonts w:ascii="Times New Roman" w:hAnsi="Times New Roman" w:eastAsia="Times New Roman"/>
          <w:sz w:val="24"/>
        </w:rPr>
        <w:t xml:space="preserve"> = .206), a pattern directionally consistent with the theoretical expectation that online auto-grading reduces the teacher-observation pathway through which Conscientiousness is channeled into grades (see Theoretical Implications below).</w:t>
      </w:r>
    </w:p>
    <w:p>
      <w:pPr>
        <w:spacing w:line="480" w:lineRule="auto" w:before="0" w:after="0"/>
        <w:ind w:firstLine="720"/>
      </w:pPr>
      <w:r>
        <w:rPr>
          <w:rFonts w:ascii="Times New Roman" w:hAnsi="Times New Roman" w:eastAsia="Times New Roman"/>
          <w:sz w:val="24"/>
        </w:rPr>
        <w:t>Mapping Prior 2 (Openness as second-strongest positive correlate). The pooled Openness–achievement correlation (</w:t>
      </w:r>
      <w:r>
        <w:rPr>
          <w:rFonts w:ascii="Times New Roman" w:hAnsi="Times New Roman" w:eastAsia="Times New Roman"/>
          <w:i/>
          <w:sz w:val="24"/>
        </w:rPr>
        <w:t>r</w:t>
      </w:r>
      <w:r>
        <w:rPr>
          <w:rFonts w:ascii="Times New Roman" w:hAnsi="Times New Roman" w:eastAsia="Times New Roman"/>
          <w:sz w:val="24"/>
        </w:rPr>
        <w:t xml:space="preserve"> = .086) was the third-largest positive effect in the present synthesis, surpassed by both Conscientiousness (</w:t>
      </w:r>
      <w:r>
        <w:rPr>
          <w:rFonts w:ascii="Times New Roman" w:hAnsi="Times New Roman" w:eastAsia="Times New Roman"/>
          <w:i/>
          <w:sz w:val="24"/>
        </w:rPr>
        <w:t>r</w:t>
      </w:r>
      <w:r>
        <w:rPr>
          <w:rFonts w:ascii="Times New Roman" w:hAnsi="Times New Roman" w:eastAsia="Times New Roman"/>
          <w:sz w:val="24"/>
        </w:rPr>
        <w:t xml:space="preserve"> = .167) and Agreeableness (</w:t>
      </w:r>
      <w:r>
        <w:rPr>
          <w:rFonts w:ascii="Times New Roman" w:hAnsi="Times New Roman" w:eastAsia="Times New Roman"/>
          <w:i/>
          <w:sz w:val="24"/>
        </w:rPr>
        <w:t>r</w:t>
      </w:r>
      <w:r>
        <w:rPr>
          <w:rFonts w:ascii="Times New Roman" w:hAnsi="Times New Roman" w:eastAsia="Times New Roman"/>
          <w:sz w:val="24"/>
        </w:rPr>
        <w:t xml:space="preserve"> = .112). The 95% confidence interval crossed zero, and the estimate was comparable to the face-to-face benchmark of Mammadov (2022; </w:t>
      </w:r>
      <w:r>
        <w:rPr>
          <w:rFonts w:ascii="Times New Roman" w:hAnsi="Times New Roman" w:eastAsia="Times New Roman"/>
          <w:i/>
          <w:sz w:val="24"/>
        </w:rPr>
        <w:t>ρ</w:t>
      </w:r>
      <w:r>
        <w:rPr>
          <w:rFonts w:ascii="Times New Roman" w:hAnsi="Times New Roman" w:eastAsia="Times New Roman"/>
          <w:sz w:val="24"/>
        </w:rPr>
        <w:t xml:space="preserve"> = .16) but substantially below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MP2 is not supported. The expectation that online environments would amplify the Openness effect through a premium on self-directed exploration was not borne out; the failure to support MP2 may partly reflect the near-universal use of undergraduate rather than K-12 samples in the online corpus, since Openness effects are known to decline with educational level (Mammadov, 2022; Meyer et al., 2023).</w:t>
      </w:r>
    </w:p>
    <w:p>
      <w:pPr>
        <w:spacing w:line="480" w:lineRule="auto" w:before="0" w:after="0"/>
        <w:ind w:firstLine="720"/>
      </w:pPr>
      <w:r>
        <w:rPr>
          <w:rFonts w:ascii="Times New Roman" w:hAnsi="Times New Roman" w:eastAsia="Times New Roman"/>
          <w:sz w:val="24"/>
        </w:rPr>
        <w:t xml:space="preserve">Mapping Prior 3 (Agreeableness as small positive effect, weaker than FtF). The pooled Agreeableness–achievement correlation was </w:t>
      </w:r>
      <w:r>
        <w:rPr>
          <w:rFonts w:ascii="Times New Roman" w:hAnsi="Times New Roman" w:eastAsia="Times New Roman"/>
          <w:i/>
          <w:sz w:val="24"/>
        </w:rPr>
        <w:t>r</w:t>
      </w:r>
      <w:r>
        <w:rPr>
          <w:rFonts w:ascii="Times New Roman" w:hAnsi="Times New Roman" w:eastAsia="Times New Roman"/>
          <w:sz w:val="24"/>
        </w:rPr>
        <w:t xml:space="preserve"> = .112, slightly larger than the face-to-face benchmark range of .05–.10 (Poropat, 2009; Vedel, 2014; Chen et al., 2025). H3, which correlated with a weaker rather than stronger effect, is therefore not supported. Within the 9-study primary Agreeableness pool, the pooled estimate is driven principally by a single influential Chinese MOOC sample (A-28 Yu, 2021; converted </w:t>
      </w:r>
      <w:r>
        <w:rPr>
          <w:rFonts w:ascii="Times New Roman" w:hAnsi="Times New Roman" w:eastAsia="Times New Roman"/>
          <w:i/>
          <w:sz w:val="24"/>
        </w:rPr>
        <w:t>β</w:t>
      </w:r>
      <w:r>
        <w:rPr>
          <w:rFonts w:ascii="Times New Roman" w:hAnsi="Times New Roman" w:eastAsia="Times New Roman"/>
          <w:sz w:val="24"/>
        </w:rPr>
        <w:t xml:space="preserve"> = .442); leave-one-out analysis confirms that removing Yu drops the pooled </w:t>
      </w:r>
      <w:r>
        <w:rPr>
          <w:rFonts w:ascii="Times New Roman" w:hAnsi="Times New Roman" w:eastAsia="Times New Roman"/>
          <w:i/>
          <w:sz w:val="24"/>
        </w:rPr>
        <w:t>r</w:t>
      </w:r>
      <w:r>
        <w:rPr>
          <w:rFonts w:ascii="Times New Roman" w:hAnsi="Times New Roman" w:eastAsia="Times New Roman"/>
          <w:sz w:val="24"/>
        </w:rPr>
        <w:t xml:space="preserve"> from .112 to .038. Convergent narrative evidence for Agreeableness amplification in East Asian online learners is provided by Wang et al. (2023; </w:t>
      </w:r>
      <w:r>
        <w:rPr>
          <w:rFonts w:ascii="Times New Roman" w:hAnsi="Times New Roman" w:eastAsia="Times New Roman"/>
          <w:i/>
          <w:sz w:val="24"/>
        </w:rPr>
        <w:t>β</w:t>
      </w:r>
      <w:r>
        <w:rPr>
          <w:rFonts w:ascii="Times New Roman" w:hAnsi="Times New Roman" w:eastAsia="Times New Roman"/>
          <w:sz w:val="24"/>
        </w:rPr>
        <w:t xml:space="preserve"> = .112 from Agreeableness to engagement; K-12 sample retained for qualitative synthesis but not in the exploratory pool) and in Israeli samples by Baruth and Cohen (2023; </w:t>
      </w:r>
      <w:r>
        <w:rPr>
          <w:rFonts w:ascii="Times New Roman" w:hAnsi="Times New Roman" w:eastAsia="Times New Roman"/>
          <w:i/>
          <w:sz w:val="24"/>
        </w:rPr>
        <w:t>ρ</w:t>
      </w:r>
      <w:r>
        <w:rPr>
          <w:rFonts w:ascii="Times New Roman" w:hAnsi="Times New Roman" w:eastAsia="Times New Roman"/>
          <w:sz w:val="24"/>
        </w:rPr>
        <w:t xml:space="preserve"> = .458 with satisfaction; retained as a secondary-outcome study, not in the exploratory pool). These directional findings converge with Mammadov's (2022) Asian-sample amplification pattern and with Chen et al.'s (2025) cultural-moderation findings. The region moderator analysis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was directionally consistent with this interpretation but did not reach statistical significance (</w:t>
      </w:r>
      <w:r>
        <w:rPr>
          <w:rFonts w:ascii="Times New Roman" w:hAnsi="Times New Roman" w:eastAsia="Times New Roman"/>
          <w:i/>
          <w:sz w:val="24"/>
        </w:rPr>
        <w:t>Q_between</w:t>
      </w:r>
      <w:r>
        <w:rPr>
          <w:rFonts w:ascii="Times New Roman" w:hAnsi="Times New Roman" w:eastAsia="Times New Roman"/>
          <w:sz w:val="24"/>
        </w:rPr>
        <w:t xml:space="preserve"> = 2.17, </w:t>
      </w:r>
      <w:r>
        <w:rPr>
          <w:rFonts w:ascii="Times New Roman" w:hAnsi="Times New Roman" w:eastAsia="Times New Roman"/>
          <w:i/>
          <w:sz w:val="24"/>
        </w:rPr>
        <w:t>p</w:t>
      </w:r>
      <w:r>
        <w:rPr>
          <w:rFonts w:ascii="Times New Roman" w:hAnsi="Times New Roman" w:eastAsia="Times New Roman"/>
          <w:sz w:val="24"/>
        </w:rPr>
        <w:t xml:space="preserve"> = .140), owing to the small Asian subsample (</w:t>
      </w:r>
      <w:r>
        <w:rPr>
          <w:rFonts w:ascii="Times New Roman" w:hAnsi="Times New Roman" w:eastAsia="Times New Roman"/>
          <w:i/>
          <w:sz w:val="24"/>
        </w:rPr>
        <w:t>k</w:t>
      </w:r>
      <w:r>
        <w:rPr>
          <w:rFonts w:ascii="Times New Roman" w:hAnsi="Times New Roman" w:eastAsia="Times New Roman"/>
          <w:sz w:val="24"/>
        </w:rPr>
        <w:t xml:space="preserve"> = 2).</w:t>
      </w:r>
    </w:p>
    <w:p>
      <w:pPr>
        <w:spacing w:line="480" w:lineRule="auto" w:before="0" w:after="0"/>
        <w:ind w:firstLine="720"/>
      </w:pPr>
      <w:r>
        <w:rPr>
          <w:rFonts w:ascii="Times New Roman" w:hAnsi="Times New Roman" w:eastAsia="Times New Roman"/>
          <w:sz w:val="24"/>
        </w:rPr>
        <w:t xml:space="preserve">Mapping Prior 4 (Neuroticism as negative, more pronounced in fully online). The pooled Neuroticism–achievement correlation was </w:t>
      </w:r>
      <w:r>
        <w:rPr>
          <w:rFonts w:ascii="Times New Roman" w:hAnsi="Times New Roman" w:eastAsia="Times New Roman"/>
          <w:i/>
          <w:sz w:val="24"/>
        </w:rPr>
        <w:t>r</w:t>
      </w:r>
      <w:r>
        <w:rPr>
          <w:rFonts w:ascii="Times New Roman" w:hAnsi="Times New Roman" w:eastAsia="Times New Roman"/>
          <w:sz w:val="24"/>
        </w:rPr>
        <w:t xml:space="preserve"> = .018, approximately null. The first component of MP4 — an overall negative pooled effect — is not supported by the primary analysis. The second component of MP4 — a more pronounced negative effect in fully online than in blended modalities — could not be evaluated quantitatively because only one study (A-02 Alkış &amp; Taşkaya Temizel, 2018) contributed a separately extractable blended subsample, precluding a fully-online-vs-blended modality contrast. Notably, the β-excluded sensitivity analysis (restricting the pool to studies with direct Pearson </w:t>
      </w:r>
      <w:r>
        <w:rPr>
          <w:rFonts w:ascii="Times New Roman" w:hAnsi="Times New Roman" w:eastAsia="Times New Roman"/>
          <w:i/>
          <w:sz w:val="24"/>
        </w:rPr>
        <w:t>r</w:t>
      </w:r>
      <w:r>
        <w:rPr>
          <w:rFonts w:ascii="Times New Roman" w:hAnsi="Times New Roman" w:eastAsia="Times New Roman"/>
          <w:sz w:val="24"/>
        </w:rPr>
        <w:t xml:space="preserve">) shifted the pooled Neuroticism estimate to </w:t>
      </w:r>
      <w:r>
        <w:rPr>
          <w:rFonts w:ascii="Times New Roman" w:hAnsi="Times New Roman" w:eastAsia="Times New Roman"/>
          <w:i/>
          <w:sz w:val="24"/>
        </w:rPr>
        <w:t>r</w:t>
      </w:r>
      <w:r>
        <w:rPr>
          <w:rFonts w:ascii="Times New Roman" w:hAnsi="Times New Roman" w:eastAsia="Times New Roman"/>
          <w:sz w:val="24"/>
        </w:rPr>
        <w:t xml:space="preserve"> = −.043, providing partial directional support for the direction of MP4 under the stricter analytic specification. The discrepancy between the primary and sensitivity analyses suggests that Peterson-Brown-converted </w:t>
      </w:r>
      <w:r>
        <w:rPr>
          <w:rFonts w:ascii="Times New Roman" w:hAnsi="Times New Roman" w:eastAsia="Times New Roman"/>
          <w:i/>
          <w:sz w:val="24"/>
        </w:rPr>
        <w:t>β</w:t>
      </w:r>
      <w:r>
        <w:rPr>
          <w:rFonts w:ascii="Times New Roman" w:hAnsi="Times New Roman" w:eastAsia="Times New Roman"/>
          <w:sz w:val="24"/>
        </w:rPr>
        <w:t xml:space="preserve"> studies (principally Yu, 2021 and Kaspar et al., 2023) systematically attenuate the Neuroticism effect, potentially because these studies control for multiple covariates in the </w:t>
      </w:r>
      <w:r>
        <w:rPr>
          <w:rFonts w:ascii="Times New Roman" w:hAnsi="Times New Roman" w:eastAsia="Times New Roman"/>
          <w:i/>
          <w:sz w:val="24"/>
        </w:rPr>
        <w:t>β</w:t>
      </w:r>
      <w:r>
        <w:rPr>
          <w:rFonts w:ascii="Times New Roman" w:hAnsi="Times New Roman" w:eastAsia="Times New Roman"/>
          <w:sz w:val="24"/>
        </w:rPr>
        <w:t xml:space="preserve"> coefficients, diluting the zero-order Neuroticism-outcome association.</w:t>
      </w:r>
    </w:p>
    <w:p>
      <w:pPr>
        <w:spacing w:line="480" w:lineRule="auto" w:before="0" w:after="0"/>
        <w:ind w:firstLine="720"/>
      </w:pPr>
      <w:r>
        <w:rPr>
          <w:rFonts w:ascii="Times New Roman" w:hAnsi="Times New Roman" w:eastAsia="Times New Roman"/>
          <w:sz w:val="24"/>
        </w:rPr>
        <w:t xml:space="preserve">Mapping Prior 5 (Extraversion as null or weak negative). The pooled Extraversion–achievement correlation was </w:t>
      </w:r>
      <w:r>
        <w:rPr>
          <w:rFonts w:ascii="Times New Roman" w:hAnsi="Times New Roman" w:eastAsia="Times New Roman"/>
          <w:i/>
          <w:sz w:val="24"/>
        </w:rPr>
        <w:t>r</w:t>
      </w:r>
      <w:r>
        <w:rPr>
          <w:rFonts w:ascii="Times New Roman" w:hAnsi="Times New Roman" w:eastAsia="Times New Roman"/>
          <w:sz w:val="24"/>
        </w:rPr>
        <w:t xml:space="preserve"> = .002, consistent with the MP5 expectation of a null overall estimate. The overall MP5 prediction is therefore supported. The proposed facet-level cancellation mechanism (sociability negative vs. assertiveness positive) could not be directly tested because few primary studies report Extraversion at the facet level, and a quantitative facet-level synthesis was not feasible (see Limitations). Moreover, two moderator analyses revealed systematic contextual conditions under which Extraversion shifts in the negative direction at the trait level: in Asian samples the pooled effect was </w:t>
      </w:r>
      <w:r>
        <w:rPr>
          <w:rFonts w:ascii="Times New Roman" w:hAnsi="Times New Roman" w:eastAsia="Times New Roman"/>
          <w:i/>
          <w:sz w:val="24"/>
        </w:rPr>
        <w:t>r</w:t>
      </w:r>
      <w:r>
        <w:rPr>
          <w:rFonts w:ascii="Times New Roman" w:hAnsi="Times New Roman" w:eastAsia="Times New Roman"/>
          <w:sz w:val="24"/>
        </w:rPr>
        <w:t xml:space="preserve"> = −.131 (95% CI [−.314, .061];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and in objective achievement outcomes the pooled effect was </w:t>
      </w:r>
      <w:r>
        <w:rPr>
          <w:rFonts w:ascii="Times New Roman" w:hAnsi="Times New Roman" w:eastAsia="Times New Roman"/>
          <w:i/>
          <w:sz w:val="24"/>
        </w:rPr>
        <w:t>r</w:t>
      </w:r>
      <w:r>
        <w:rPr>
          <w:rFonts w:ascii="Times New Roman" w:hAnsi="Times New Roman" w:eastAsia="Times New Roman"/>
          <w:sz w:val="24"/>
        </w:rPr>
        <w:t xml:space="preserve"> = −.038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against self-rated </w:t>
      </w:r>
      <w:r>
        <w:rPr>
          <w:rFonts w:ascii="Times New Roman" w:hAnsi="Times New Roman" w:eastAsia="Times New Roman"/>
          <w:i/>
          <w:sz w:val="24"/>
        </w:rPr>
        <w:t>r</w:t>
      </w:r>
      <w:r>
        <w:rPr>
          <w:rFonts w:ascii="Times New Roman" w:hAnsi="Times New Roman" w:eastAsia="Times New Roman"/>
          <w:sz w:val="24"/>
        </w:rPr>
        <w:t xml:space="preserve"> = .117). These moderator findings represent , to the author's knowledge, the first meta-analytic evidence for a directional shift in the Extraversion effect attributable to (a) cultural context and (b) outcome operationalization in online learning environments, extending the near-null face-to-face estimate (Poropat, 2009; Chen et al., 2025) toward a culturally and methodologically structured pattern of divergence. Whether these contextual shifts reflect the MP5 facet-cancellation mechanism (e.g., assertiveness facets activated more strongly in individualistic vs. collectivistic contexts) or a separate trait-level mechanism remains an open question for facet-level primary research.</w:t>
      </w:r>
    </w:p>
    <w:p>
      <w:pPr>
        <w:pStyle w:val="Heading2"/>
        <w:spacing w:line="480" w:lineRule="auto" w:before="0" w:after="0"/>
      </w:pPr>
      <w:r>
        <w:t>Theoretical Implications</w:t>
      </w:r>
    </w:p>
    <w:p>
      <w:pPr>
        <w:spacing w:line="480" w:lineRule="auto" w:before="0" w:after="0"/>
        <w:ind w:firstLine="720"/>
      </w:pPr>
      <w:r>
        <w:rPr>
          <w:rFonts w:ascii="Times New Roman" w:hAnsi="Times New Roman" w:eastAsia="Times New Roman"/>
          <w:sz w:val="24"/>
        </w:rPr>
        <w:t>The present findings carry several theoretical implications for the personality-achievement literature. First, the slightly reduced Conscientiousness effect in online environments (</w:t>
      </w:r>
      <w:r>
        <w:rPr>
          <w:rFonts w:ascii="Times New Roman" w:hAnsi="Times New Roman" w:eastAsia="Times New Roman"/>
          <w:i/>
          <w:sz w:val="24"/>
        </w:rPr>
        <w:t>r</w:t>
      </w:r>
      <w:r>
        <w:rPr>
          <w:rFonts w:ascii="Times New Roman" w:hAnsi="Times New Roman" w:eastAsia="Times New Roman"/>
          <w:sz w:val="24"/>
        </w:rPr>
        <w:t xml:space="preserve"> = .167 vs. face-to-face </w:t>
      </w:r>
      <w:r>
        <w:rPr>
          <w:rFonts w:ascii="Times New Roman" w:hAnsi="Times New Roman" w:eastAsia="Times New Roman"/>
          <w:i/>
          <w:sz w:val="24"/>
        </w:rPr>
        <w:t>ρ</w:t>
      </w:r>
      <w:r>
        <w:rPr>
          <w:rFonts w:ascii="Times New Roman" w:hAnsi="Times New Roman" w:eastAsia="Times New Roman"/>
          <w:sz w:val="24"/>
        </w:rPr>
        <w:t xml:space="preserve"> = .19–.28) provides preliminary support for the Personality-Achievement Saturation Hypothesis (PASH; Meyer et al., 2023), which posits that Conscientiousness is channeled into academic outcomes through behavioral signals visible to graders. In online environments with automated grading, reduced teacher observation, and fewer opportunities for classroom-level behavioral indicators, the PASH framework implies a weakened Conscientiousness estimate; the present meta-analytic estimate is consistent with this expectation, though the magnitude of attenuation (Δr ≈ .04–.10 depending on benchmark) is at or near the replicability threshold documented by Zell and Lesick (2022) for second-order meta-analyses. Further replication with larger </w:t>
      </w:r>
      <w:r>
        <w:rPr>
          <w:rFonts w:ascii="Times New Roman" w:hAnsi="Times New Roman" w:eastAsia="Times New Roman"/>
          <w:i/>
          <w:sz w:val="24"/>
        </w:rPr>
        <w:t>k</w:t>
      </w:r>
      <w:r>
        <w:rPr>
          <w:rFonts w:ascii="Times New Roman" w:hAnsi="Times New Roman" w:eastAsia="Times New Roman"/>
          <w:sz w:val="24"/>
        </w:rPr>
        <w:t xml:space="preserve"> is warranted before attributing this attenuation exclusively to the PASH mechanism.</w:t>
      </w:r>
    </w:p>
    <w:p>
      <w:pPr>
        <w:spacing w:line="480" w:lineRule="auto" w:before="0" w:after="0"/>
        <w:ind w:firstLine="720"/>
      </w:pPr>
      <w:r>
        <w:rPr>
          <w:rFonts w:ascii="Times New Roman" w:hAnsi="Times New Roman" w:eastAsia="Times New Roman"/>
          <w:sz w:val="24"/>
        </w:rPr>
        <w:t xml:space="preserve">Second, the null pooled Extraversion effect in online environments, combined with the large between-group differences in the Region × Extraversion subgroup contrast (Asia </w:t>
      </w:r>
      <w:r>
        <w:rPr>
          <w:rFonts w:ascii="Times New Roman" w:hAnsi="Times New Roman" w:eastAsia="Times New Roman"/>
          <w:i/>
          <w:sz w:val="24"/>
        </w:rPr>
        <w:t>r</w:t>
      </w:r>
      <w:r>
        <w:rPr>
          <w:rFonts w:ascii="Times New Roman" w:hAnsi="Times New Roman" w:eastAsia="Times New Roman"/>
          <w:sz w:val="24"/>
        </w:rPr>
        <w:t xml:space="preserve"> = −.131 vs. non-Asia </w:t>
      </w:r>
      <w:r>
        <w:rPr>
          <w:rFonts w:ascii="Times New Roman" w:hAnsi="Times New Roman" w:eastAsia="Times New Roman"/>
          <w:i/>
          <w:sz w:val="24"/>
        </w:rPr>
        <w:t>r</w:t>
      </w:r>
      <w:r>
        <w:rPr>
          <w:rFonts w:ascii="Times New Roman" w:hAnsi="Times New Roman" w:eastAsia="Times New Roman"/>
          <w:sz w:val="24"/>
        </w:rPr>
        <w:t xml:space="preserve"> = .050;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&lt; .001) and the Outcome-Type × Extraversion subgroup contrast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&lt; .001), contributes a more nuanced descriptive picture of how social presence and cultural context appear to moderate personality-achievement associations. We emphasise that both subgroup contrasts are based on a very small number of studies per level (in some cases two to three) and that the same small set of studies enters both contrasts; the contrasts should therefore be read as exploratory descriptive patterns rather than as confirmatory tests of interaction. The face-to-face literature has consistently reported near-null Extraversion–achievement associations at the tertiary level (Chen et al., 2025; Poropat, 2009), with the few modest positive effects concentrated in elementary/middle school contexts where classroom participation is more salient (Mammadov, 2022). In online environments, the present primary estimate converges with this face-to-face pattern but appears to decompose into a negative effect in Asian samples and objective outcomes and a positive effect in self-rated outcomes. This pattern is consistent with two exploratory hypotheses — (a) that extraverts may be disadvantaged in collectivistic online contexts where social interaction is most constrained, and (b) that self-rated performance may be subject to an extraversion-linked self-enhancement bias — but the present evidence base is too small to discriminate between these explanations and alternative explanations (sampling, instrument, or outcome-domain confounds). The descriptive Outcome-Type contrast is a potentially useful methodological observation, in that it suggests prior single-outcome studies may have produced divergent Extraversion estimates partly because they differentially sampled objective vs. self-rated indicators; this descriptive pattern would, however, need confirmation in primary research that simultaneously collects both outcome types within the same learners. The descriptive pattern is directionally consistent with person-environment fit models of personality expression in technology-mediated contexts and with self-enhancement models of self-report methodology (Paulhus, 1998), but cannot by itself be taken as evidence for either model.</w:t>
      </w:r>
    </w:p>
    <w:p>
      <w:pPr>
        <w:spacing w:line="480" w:lineRule="auto" w:before="0" w:after="0"/>
        <w:ind w:firstLine="720"/>
      </w:pPr>
      <w:r>
        <w:rPr>
          <w:rFonts w:ascii="Times New Roman" w:hAnsi="Times New Roman" w:eastAsia="Times New Roman"/>
          <w:sz w:val="24"/>
        </w:rPr>
        <w:t xml:space="preserve">Third, the descriptive cultural moderator patterns — a directionally amplified Agreeableness estimate and a directionally negative Extraversion estimate in Asian samples — are directionally consistent with face-to-face cultural-moderator findings reported by Mammadov (2022) and Chen et al. (2025), but the present online </w:t>
      </w:r>
      <w:r>
        <w:rPr>
          <w:rFonts w:ascii="Times New Roman" w:hAnsi="Times New Roman" w:eastAsia="Times New Roman"/>
          <w:i/>
          <w:sz w:val="24"/>
        </w:rPr>
        <w:t>k</w:t>
      </w:r>
      <w:r>
        <w:rPr>
          <w:rFonts w:ascii="Times New Roman" w:hAnsi="Times New Roman" w:eastAsia="Times New Roman"/>
          <w:sz w:val="24"/>
        </w:rPr>
        <w:t xml:space="preserve"> is too small to constitute replication in any strong sense. The Asian Agreeableness pooled estimate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did not reach significance in the present </w:t>
      </w:r>
      <w:r>
        <w:rPr>
          <w:rFonts w:ascii="Times New Roman" w:hAnsi="Times New Roman" w:eastAsia="Times New Roman"/>
          <w:i/>
          <w:sz w:val="24"/>
        </w:rPr>
        <w:t>k</w:t>
      </w:r>
      <w:r>
        <w:rPr>
          <w:rFonts w:ascii="Times New Roman" w:hAnsi="Times New Roman" w:eastAsia="Times New Roman"/>
          <w:sz w:val="24"/>
        </w:rPr>
        <w:t xml:space="preserve"> = 2 Asian subsample, and the larger pooled Agreeableness estimate is itself fragile to the exclusion of the single Chinese MOOC sample (Yu, 2021) that dominates the Asian subset. At most, the present synthesis can be read as offering directional consistency with the proposition that the cultural mechanism documented in face-to-face syntheses (individualism vs. collectivism; competitive vs. cooperative classroom norms) may also operate in online environments. The tentative implications for online course design in East Asian institutional contexts are addressed cautiously under Practical Implications.</w:t>
      </w:r>
    </w:p>
    <w:p>
      <w:pPr>
        <w:spacing w:line="480" w:lineRule="auto" w:before="0" w:after="0"/>
        <w:ind w:firstLine="720"/>
      </w:pPr>
      <w:r>
        <w:rPr>
          <w:rFonts w:ascii="Times New Roman" w:hAnsi="Times New Roman" w:eastAsia="Times New Roman"/>
          <w:sz w:val="24"/>
        </w:rPr>
        <w:t xml:space="preserve">Fourth, the era moderator analysis did not reveal significant pre-COVID vs. COVID-era differences for any trait. In particular,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 .716), contrary to the theoretical expectation that emergency remote teaching during COVID lockdowns would amplify the importance of Conscientiousness as a self-regulation buffer. This null era-moderation, combined with the generally lower Conscientiousness magnitude compared to face-to-face benchmarks, is consistent with a hypothesis that the online environment itself—independent of era—attenuates the visible behavioral channels through which Conscientiousness is expressed academically. The post-COVID era could not be evaluated quantitatively because no post-COVID study contributed correlations to the exploratory pool (</w:t>
      </w:r>
      <w:r>
        <w:rPr>
          <w:rFonts w:ascii="Times New Roman" w:hAnsi="Times New Roman" w:eastAsia="Times New Roman"/>
          <w:i/>
          <w:sz w:val="24"/>
        </w:rPr>
        <w:t>k</w:t>
      </w:r>
      <w:r>
        <w:rPr>
          <w:rFonts w:ascii="Times New Roman" w:hAnsi="Times New Roman" w:eastAsia="Times New Roman"/>
          <w:sz w:val="24"/>
        </w:rPr>
        <w:t xml:space="preserve"> = 0 in the moderator analysis, with 4 post-COVID studies retained for qualitative synthesis only); future meta-analytic updates should reassess this pattern as the post-COVID primary literature matures.</w:t>
      </w:r>
    </w:p>
    <w:p>
      <w:pPr>
        <w:pStyle w:val="Heading2"/>
        <w:spacing w:line="480" w:lineRule="auto" w:before="0" w:after="0"/>
      </w:pPr>
      <w:r>
        <w:t>Hypotheses for Future Practical Testing</w:t>
      </w:r>
    </w:p>
    <w:p>
      <w:pPr>
        <w:spacing w:line="480" w:lineRule="auto" w:before="0" w:after="0"/>
        <w:ind w:firstLine="720"/>
      </w:pPr>
      <w:r>
        <w:rPr>
          <w:rFonts w:ascii="Times New Roman" w:hAnsi="Times New Roman" w:eastAsia="Times New Roman"/>
          <w:sz w:val="24"/>
        </w:rPr>
        <w:t>This subsection lists a small number of hypotheses for future practical testing that follow, directionally, from the mapped evidence. Every item below is framed as a hypothesis that requires empirical validation in independent primary research before being operationalised. The subsection is deliberately not framed as "practical implications" or "recommendations": the exploratory quantitative pool is small (</w:t>
      </w:r>
      <w:r>
        <w:rPr>
          <w:rFonts w:ascii="Times New Roman" w:hAnsi="Times New Roman" w:eastAsia="Times New Roman"/>
          <w:i/>
          <w:sz w:val="24"/>
        </w:rPr>
        <w:t>k</w:t>
      </w:r>
      <w:r>
        <w:rPr>
          <w:rFonts w:ascii="Times New Roman" w:hAnsi="Times New Roman" w:eastAsia="Times New Roman"/>
          <w:sz w:val="24"/>
        </w:rPr>
        <w:t xml:space="preserve"> = 10), heterogeneity is moderate to high for most traits, prediction intervals cross zero for all traits except Conscientiousness, and the subgroup contrasts that motivate the modality-related hypotheses below rest on a very small number of studies per subgroup (in some cases two to three). Practitioners, instructional designers, and educational technology developers should not use the hypotheses below as a basis for design or instructional decisions until each has been tested and supported in adequately powered primary research.</w:t>
      </w:r>
    </w:p>
    <w:p>
      <w:pPr>
        <w:spacing w:line="480" w:lineRule="auto" w:before="0" w:after="0"/>
        <w:ind w:firstLine="720"/>
      </w:pPr>
      <w:r>
        <w:rPr>
          <w:rFonts w:ascii="Times New Roman" w:hAnsi="Times New Roman" w:eastAsia="Times New Roman"/>
          <w:sz w:val="24"/>
        </w:rPr>
        <w:t>Hypothesis for future practical testing (HPT-1). Building on the observation that the Conscientiousness–achievement association is the only estimate in the present synthesis whose 95% prediction interval does not include zero, we hypothesise — for future empirical validation — that online-learning features that scaffold self-regulated learning (structured scheduling tools, progress tracking, deadline reminders, and LMS engagement analytics) are likely to correlate with achievement most strongly among learners who are lower in Conscientiousness. This hypothesis is the least tentative in the present synthesis, but is offered here as a hypothesis for future testing rather than as an actionable design recommendation.</w:t>
      </w:r>
    </w:p>
    <w:p>
      <w:pPr>
        <w:spacing w:line="480" w:lineRule="auto" w:before="0" w:after="0"/>
        <w:ind w:firstLine="720"/>
      </w:pPr>
      <w:r>
        <w:rPr>
          <w:rFonts w:ascii="Times New Roman" w:hAnsi="Times New Roman" w:eastAsia="Times New Roman"/>
          <w:sz w:val="24"/>
        </w:rPr>
        <w:t>Hypothesis for future practical testing (HPT-2). Building on the descriptive Extraversion × Region and Extraversion × Outcome-Type subgroup contrasts — noting that both rest on as few as two studies per subgroup on at least one side and that the "Asian" subset includes Middle Eastern samples whose positioning relative to East Asian collectivism is debated — we hypothesise, for future empirical testing rather than as a design recommendation, that (a) intentional incorporation of synchronous elements in fully asynchronous online courses in collectivistic cultural contexts may partially restore social channels through which extraverted learners express engagement, and (b) self-rated performance metrics in online contexts may be susceptible to extraversion-related self-enhancement bias and should be triangulated with objective indicators. Both sub-hypotheses require validation in adequately powered primary research with fully specified cultural context and matched objective / self-rated outcomes; the English-language restriction of the present review means that a non-trivial fraction of the underlying non-English cultural-context literature was implicitly excluded, which further motivates the future-testing framing rather than any operational use of these sub-hypotheses.</w:t>
      </w:r>
    </w:p>
    <w:p>
      <w:pPr>
        <w:spacing w:line="480" w:lineRule="auto" w:before="0" w:after="0"/>
        <w:ind w:firstLine="720"/>
      </w:pPr>
      <w:r>
        <w:rPr>
          <w:rFonts w:ascii="Times New Roman" w:hAnsi="Times New Roman" w:eastAsia="Times New Roman"/>
          <w:sz w:val="24"/>
        </w:rPr>
        <w:t>Hypothesis for future practical testing (HPT-3). Building on the fragile Agreeableness pooled estimate — driven primarily by a single Chinese MOOC sample (Yu, 2021) and appreciably attenuated in the single-study leave-one-out sensitivity analysis — we hypothesise, only for future empirical testing, that cooperative-learning designs in East Asian online contexts may correlate positively with achievement for high-Agreeableness learners. The estimate on which this hypothesis rests is the most fragile in the present synthesis and this hypothesis should not, by itself, motivate any cooperative-learning design recommendation. Convergent narrative evidence from other East Asian and Israeli studies is directionally consistent but not by itself sufficient to justify practical operationalisation. In parallel, and building on the failure to support an amplified Openness estimate, we tentatively hypothesise that exploration-oriented features of current institutional LMS platforms (novel digital tools, supplementary multimedia, flexible navigation) do not currently correlate with achievement gains for high-Openness learners at a detectable magnitude, possibly reflecting the standardisation of online assessment and the constrained range of exploration afforded by most institutional LMS platforms. Both sub-hypotheses are exploratory and are offered for future empirical testing rather than as actionable guidance.</w:t>
      </w:r>
    </w:p>
    <w:p>
      <w:pPr>
        <w:pStyle w:val="Heading2"/>
        <w:spacing w:line="480" w:lineRule="auto" w:before="0" w:after="0"/>
      </w:pPr>
      <w:r>
        <w:t>Distinguishing Robust from Fragile Findings</w:t>
      </w:r>
    </w:p>
    <w:p>
      <w:pPr>
        <w:spacing w:line="480" w:lineRule="auto" w:before="0" w:after="0"/>
        <w:ind w:firstLine="720"/>
      </w:pPr>
      <w:r>
        <w:rPr>
          <w:rFonts w:ascii="Times New Roman" w:hAnsi="Times New Roman" w:eastAsia="Times New Roman"/>
          <w:sz w:val="24"/>
        </w:rPr>
        <w:t>Given the small exploratory pool, the wide prediction intervals around most pooled estimates, and the fact that several findings change appreciably under pre-specified sensitivity analyses, it is important to distinguish in the discussion above between findings that are relatively robust across analytic choices and findings that are fragile and dependent on specific decisions about effect-size conversion, individual study inclusion, or moderator coding.</w:t>
      </w:r>
    </w:p>
    <w:p>
      <w:pPr>
        <w:spacing w:line="480" w:lineRule="auto" w:before="0" w:after="0"/>
        <w:ind w:firstLine="720"/>
      </w:pPr>
      <w:r>
        <w:rPr>
          <w:rFonts w:ascii="Times New Roman" w:hAnsi="Times New Roman" w:eastAsia="Times New Roman"/>
          <w:sz w:val="24"/>
        </w:rPr>
        <w:t xml:space="preserve">The most robust finding is the positive Conscientiousness-achievement association (pooled </w:t>
      </w:r>
      <w:r>
        <w:rPr>
          <w:rFonts w:ascii="Times New Roman" w:hAnsi="Times New Roman" w:eastAsia="Times New Roman"/>
          <w:i/>
          <w:sz w:val="24"/>
        </w:rPr>
        <w:t>r</w:t>
      </w:r>
      <w:r>
        <w:rPr>
          <w:rFonts w:ascii="Times New Roman" w:hAnsi="Times New Roman" w:eastAsia="Times New Roman"/>
          <w:sz w:val="24"/>
        </w:rPr>
        <w:t xml:space="preserve"> = .167). Conscientiousness is the only trait whose 95% prediction interval does not include zero, the pooled estimate is stable under the leave-one-out, β-conversion-exclusion, risk-of-bias-exclusion, and author's-own-study-exclusion sensitivity analyses, and the direction and approximate magnitude are convergent with all eight prior face-to-face meta-analyses (range </w:t>
      </w:r>
      <w:r>
        <w:rPr>
          <w:rFonts w:ascii="Times New Roman" w:hAnsi="Times New Roman" w:eastAsia="Times New Roman"/>
          <w:i/>
          <w:sz w:val="24"/>
        </w:rPr>
        <w:t>ρ</w:t>
      </w:r>
      <w:r>
        <w:rPr>
          <w:rFonts w:ascii="Times New Roman" w:hAnsi="Times New Roman" w:eastAsia="Times New Roman"/>
          <w:sz w:val="24"/>
        </w:rPr>
        <w:t xml:space="preserve"> = .19–.28). Although the online magnitude is somewhat attenuated relative to these face-to-face benchmarks — a feature of the data that is consistent with the Personality-Achievement Saturation Hypothesis — the positivity and approximate size of the Conscientiousness effect should be regarded as a relatively robust feature of the present synthesis.</w:t>
      </w:r>
    </w:p>
    <w:p>
      <w:pPr>
        <w:spacing w:line="480" w:lineRule="auto" w:before="0" w:after="0"/>
        <w:ind w:firstLine="720"/>
      </w:pPr>
      <w:r>
        <w:rPr>
          <w:rFonts w:ascii="Times New Roman" w:hAnsi="Times New Roman" w:eastAsia="Times New Roman"/>
          <w:sz w:val="24"/>
        </w:rPr>
        <w:t>By contrast, the following findings are fragile and should be treated with substantially greater caution: (i) the pooled Agreeableness estimate (</w:t>
      </w:r>
      <w:r>
        <w:rPr>
          <w:rFonts w:ascii="Times New Roman" w:hAnsi="Times New Roman" w:eastAsia="Times New Roman"/>
          <w:i/>
          <w:sz w:val="24"/>
        </w:rPr>
        <w:t>r</w:t>
      </w:r>
      <w:r>
        <w:rPr>
          <w:rFonts w:ascii="Times New Roman" w:hAnsi="Times New Roman" w:eastAsia="Times New Roman"/>
          <w:sz w:val="24"/>
        </w:rPr>
        <w:t xml:space="preserve"> = .112), which is driven primarily by a single Chinese MOOC sample (Yu, 2021) and attenuates appreciably in the leave-one-out sensitivity analysis; (ii) the null Extraversion pooled estimate (</w:t>
      </w:r>
      <w:r>
        <w:rPr>
          <w:rFonts w:ascii="Times New Roman" w:hAnsi="Times New Roman" w:eastAsia="Times New Roman"/>
          <w:i/>
          <w:sz w:val="24"/>
        </w:rPr>
        <w:t>r</w:t>
      </w:r>
      <w:r>
        <w:rPr>
          <w:rFonts w:ascii="Times New Roman" w:hAnsi="Times New Roman" w:eastAsia="Times New Roman"/>
          <w:sz w:val="24"/>
        </w:rPr>
        <w:t xml:space="preserve"> = .002), which masks high between-subgroup heterogeneity and changes sign in the Region and Outcome-Type subgroups; (iii) the Extraversion × Region and Extraversion × Outcome Type subgroup contrasts themselves, which rest on as few as two studies per subgroup on at least one side and which involve the same set of small studies entering both contrasts; and (iv) the pooled estimates for Openness and Neuroticism, both of which have prediction intervals crossing zero by a wide margin and whose direction or magnitude shift under the β-conversion-exclusion sensitivity analysis. Readers should interpret discussion points that depend on these fragile findings — including the Agreeableness-cooperation hypothesis, the Asian-Extraversion-design hypothesis, and the Outcome-Type-self-enhancement hypothesis above — as exploratory rather than confirmatory, and should not assign them the same weight in narrative synthesis as the more robust Conscientiousness finding.</w:t>
      </w:r>
    </w:p>
    <w:p>
      <w:pPr>
        <w:pStyle w:val="Heading2"/>
        <w:spacing w:line="480" w:lineRule="auto" w:before="0" w:after="0"/>
      </w:pPr>
      <w:r>
        <w:t>Strengths of the Present Review</w:t>
      </w:r>
    </w:p>
    <w:p>
      <w:pPr>
        <w:spacing w:line="480" w:lineRule="auto" w:before="0" w:after="0"/>
        <w:ind w:firstLine="720"/>
      </w:pPr>
      <w:r>
        <w:rPr>
          <w:rFonts w:ascii="Times New Roman" w:hAnsi="Times New Roman" w:eastAsia="Times New Roman"/>
          <w:sz w:val="24"/>
        </w:rPr>
        <w:t xml:space="preserve">The present review has several methodological strengths. First, it is the first scoping mapping of the online learning environments, filling a documented gap in the Big Five–achievement literature acknowledged by eight prior meta-analyses (Chen et al., 2025; Mammadov, 2022; McAbee &amp; Oswald, 2013; Meyer et al., 2023; Poropat, 2009; Stajkovic et al., 2018; Vedel, 2014; Zell &amp; Lesick, 2022) and one narrative review (Hunter et al., 2025). Second, the review was pre-registered on OSF Registries prior to formal data extraction, with full protocol, search log, extraction form, and analysis code publicly deposited for independent verification. Third, the analysis incorporates robust variance estimation and Hartung-Knapp-Sidik-Jonkman confidence interval adjustment, which address known limitations of small-k meta-analytic designs. Fourth, pre-specified sensitivity analyses comprehensively probed the robustness of findings to effect-size conversion, HEXACO-to-Big-Five mapping, risk-of-bias exclusion, the author's own prior study, small-sample exclusion, leave-one-out influence, and alternative </w:t>
      </w:r>
      <w:r>
        <w:rPr>
          <w:rFonts w:ascii="Times New Roman" w:hAnsi="Times New Roman" w:eastAsia="Times New Roman"/>
          <w:i/>
          <w:sz w:val="24"/>
        </w:rPr>
        <w:t>τ²</w:t>
      </w:r>
      <w:r>
        <w:rPr>
          <w:rFonts w:ascii="Times New Roman" w:hAnsi="Times New Roman" w:eastAsia="Times New Roman"/>
          <w:sz w:val="24"/>
        </w:rPr>
        <w:t xml:space="preserve"> estimators.</w:t>
      </w:r>
    </w:p>
    <w:p>
      <w:pPr>
        <w:pStyle w:val="Heading2"/>
        <w:spacing w:line="480" w:lineRule="auto" w:before="0" w:after="0"/>
      </w:pPr>
      <w:r>
        <w:t>Limitations</w:t>
      </w:r>
    </w:p>
    <w:p>
      <w:pPr>
        <w:spacing w:line="480" w:lineRule="auto" w:before="0" w:after="0"/>
        <w:ind w:firstLine="720"/>
      </w:pPr>
      <w:r>
        <w:rPr>
          <w:rFonts w:ascii="Times New Roman" w:hAnsi="Times New Roman" w:eastAsia="Times New Roman"/>
          <w:sz w:val="24"/>
        </w:rPr>
        <w:t>The review has several substantive limitations that materially constrain the strength of the conclusions and that should be kept in mind by readers. First, the number of primary studies contributing to the pooled achievement analyses (</w:t>
      </w:r>
      <w:r>
        <w:rPr>
          <w:rFonts w:ascii="Times New Roman" w:hAnsi="Times New Roman" w:eastAsia="Times New Roman"/>
          <w:i/>
          <w:sz w:val="24"/>
        </w:rPr>
        <w:t>k</w:t>
      </w:r>
      <w:r>
        <w:rPr>
          <w:rFonts w:ascii="Times New Roman" w:hAnsi="Times New Roman" w:eastAsia="Times New Roman"/>
          <w:sz w:val="24"/>
        </w:rPr>
        <w:t xml:space="preserve"> = 10, with 6 contributing direct Pearson correlations and 4 contributing β-converted correlations via the Peterson and Brown (2005) transformation) is at the lower bound of what is generally considered adequate for robust random-effects estimation (Borenstein et al., 2021). With a exploratory pool of this size, pooled estimates are unstable, heterogeneity is poorly estimated, prediction intervals are wide, and the present synthesis must be regarded as preliminary rather than definitive. Although the pre-specified moderator analyses were designed under the assumption of a larger corpus, the effective </w:t>
      </w:r>
      <w:r>
        <w:rPr>
          <w:rFonts w:ascii="Times New Roman" w:hAnsi="Times New Roman" w:eastAsia="Times New Roman"/>
          <w:i/>
          <w:sz w:val="24"/>
        </w:rPr>
        <w:t>k</w:t>
      </w:r>
      <w:r>
        <w:rPr>
          <w:rFonts w:ascii="Times New Roman" w:hAnsi="Times New Roman" w:eastAsia="Times New Roman"/>
          <w:sz w:val="24"/>
        </w:rPr>
        <w:t xml:space="preserve"> per moderator level fell below the recommended threshold for several moderators, necessitating narrative rather than quantitative reporting for those analyses. Where moderator subgroup analyses were conducted, the very small </w:t>
      </w:r>
      <w:r>
        <w:rPr>
          <w:rFonts w:ascii="Times New Roman" w:hAnsi="Times New Roman" w:eastAsia="Times New Roman"/>
          <w:i/>
          <w:sz w:val="24"/>
        </w:rPr>
        <w:t>k</w:t>
      </w:r>
      <w:r>
        <w:rPr>
          <w:rFonts w:ascii="Times New Roman" w:hAnsi="Times New Roman" w:eastAsia="Times New Roman"/>
          <w:sz w:val="24"/>
        </w:rPr>
        <w:t xml:space="preserve"> per level (in some cases as few as two studies per subgroup) further limits the inferences that can be drawn from the subgroup contrasts; the moderator-effect estimates reported should be treated as exploratory rather than confirmatory.</w:t>
      </w:r>
    </w:p>
    <w:p>
      <w:pPr>
        <w:spacing w:line="480" w:lineRule="auto" w:before="0" w:after="0"/>
        <w:ind w:firstLine="720"/>
      </w:pPr>
      <w:r>
        <w:rPr>
          <w:rFonts w:ascii="Times New Roman" w:hAnsi="Times New Roman" w:eastAsia="Times New Roman"/>
          <w:sz w:val="24"/>
        </w:rPr>
        <w:t>Second, the protocol specified six bibliographic databases (PubMed/MEDLINE, PsycINFO, ERIC, Web of Science, Scopus, and ProQuest Dissertations), but the execution environment lacked institutional access to the subscription-gated databases and did not permit direct API access to several open databases. The search was therefore executed via the WebSearch interface (Google-based) and supplemented by ERIC web search and open-access repository retrieval, with forward and backward citation snowballing from included studies and from prior meta-analyses. Although this deviation is transparently disclosed in Methods and in the search-strategy supplement, it represents a real departure from the pre-registered plan. The WebSearch route does not provide controlled-vocabulary (MeSH/thesaurus) indexing or per-database hit accounting in the same way that direct database searches do, and the lack of full PsycINFO and ProQuest Dissertations coverage means that a non-trivial number of potentially eligible non-English-language studies, dissertations, and grey-literature reports may have been missed. Combined with the English-language restriction (point five below), this limitation should reduce reader confidence in the comprehensiveness of the corpus, and the present synthesis should not be treated as an exhaustive census of the underlying literature. A replication search using full institutional access to the pre-registered databases is planned for a subsequent manuscript version.</w:t>
      </w:r>
    </w:p>
    <w:p>
      <w:pPr>
        <w:spacing w:line="480" w:lineRule="auto" w:before="0" w:after="0"/>
        <w:ind w:firstLine="720"/>
      </w:pPr>
      <w:r>
        <w:rPr>
          <w:rFonts w:ascii="Times New Roman" w:hAnsi="Times New Roman" w:eastAsia="Times New Roman"/>
          <w:sz w:val="24"/>
        </w:rPr>
        <w:t xml:space="preserve">Third, the review was conducted by a single reviewer, deviating from the Cochrane and PRISMA 2020/PRISMA-ScR recommendation of two independent reviewers at the screening, full-text assessment, and data-extraction stages. Intra-rater reliability was assessed at each stage with target κ ≥ 0.80 met in each case, but intra-rater reliability cannot replicate inter-rater independence; single-reviewer workflows are known to be susceptible to systematic biases (e.g., confirmation effects in study inclusion, drift in extraction conventions) that intra-rater checks cannot fully detect. Readers should weight this limitation when interpreting the boundary decisions documented in the screening ledger. Fourth, the English-language restriction excluded a potentially informative body of non-English primary literature, particularly Chinese-, Japanese-, Korean-, and Spanish-language work where the personality-achievement association in online contexts is theoretically interesting. This restriction is especially consequential for the moderator findings concerning East Asian and Middle Eastern samples reported below, because the subset of non-English regional work that was implicitly excluded is precisely the work most likely to clarify those moderator effects. Fifth, the included studies varied substantially in their outcome operationalizations: some used objective GPA or standardized exam scores, others used self-reported achievement, course satisfaction, engagement composites, or LMS-behavior indicators. This heterogeneity limits the precision of the pooled effects, inflates observed </w:t>
      </w:r>
      <w:r>
        <w:rPr>
          <w:rFonts w:ascii="Times New Roman" w:hAnsi="Times New Roman" w:eastAsia="Times New Roman"/>
          <w:i/>
          <w:sz w:val="24"/>
        </w:rPr>
        <w:t>I²</w:t>
      </w:r>
      <w:r>
        <w:rPr>
          <w:rFonts w:ascii="Times New Roman" w:hAnsi="Times New Roman" w:eastAsia="Times New Roman"/>
          <w:sz w:val="24"/>
        </w:rPr>
        <w:t xml:space="preserve"> values, and almost certainly contributes to the wide prediction intervals reported in the Results section.</w:t>
      </w:r>
    </w:p>
    <w:p>
      <w:pPr>
        <w:spacing w:line="480" w:lineRule="auto" w:before="0" w:after="0"/>
        <w:ind w:firstLine="720"/>
      </w:pPr>
      <w:r>
        <w:rPr>
          <w:rFonts w:ascii="Times New Roman" w:hAnsi="Times New Roman" w:eastAsia="Times New Roman"/>
          <w:sz w:val="24"/>
        </w:rPr>
        <w:t>Sixth, the author's own prior primary study (Tokiwa, 2025) was included in the scoping-retained set as a potentially eligible record. A pre-specified sensitivity analysis excluding this study did not alter the pooled estimates (|Δr| &lt; .001 for every trait) because Tokiwa (2025) did not contribute extractable zero-order correlations to the exploratory quantitative pool; both the primary and sensitivity results are reported transparently in Table 4 for reader scrutiny. Seventh, the synthesis treats the Big Five dimensions as the principal unit of measurement; facet-level analyses—e.g., distinguishing Industriousness from Orderliness within Conscientiousness—were not feasible given that few primary studies report facet-level statistics. Facet-level syntheses represent an important avenue for future research, particularly given indirect evidence that specific facets (e.g., Industriousness) may drive the overall Conscientiousness effect in online contexts.</w:t>
      </w:r>
    </w:p>
    <w:p>
      <w:pPr>
        <w:pStyle w:val="Heading2"/>
        <w:spacing w:line="480" w:lineRule="auto" w:before="0" w:after="0"/>
      </w:pPr>
      <w:r>
        <w:t>Future Research Directions</w:t>
      </w:r>
    </w:p>
    <w:p>
      <w:pPr>
        <w:spacing w:line="480" w:lineRule="auto" w:before="0" w:after="0"/>
        <w:ind w:firstLine="720"/>
      </w:pPr>
      <w:r>
        <w:rPr>
          <w:rFonts w:ascii="Times New Roman" w:hAnsi="Times New Roman" w:eastAsia="Times New Roman"/>
          <w:sz w:val="24"/>
        </w:rPr>
        <w:t>Several directions for future research emerge from the present findings. First, the described Extraversion × modality contrast should be directly tested in primary research using within-subject or matched-design protocols that compare the same learners across asynchronous and synchronous online conditions. Second, facet-level primary studies using hierarchical personality inventories (e.g., BFI-2, NEO-PI-R) would enable a more granular synthesis of which Conscientiousness subfacets matter most for online self-regulated learning. Third, longitudinal designs spanning the pre-COVID, COVID, and post-COVID eras—as initiated by Zheng and Zheng (2023) within a single institution—are needed to adjudicate whether era-level differences in the personality-achievement association reflect genuine changes in mechanism or sampling artifacts. Fourth, cross-cultural replication with matched online course content and assessment would isolate the cultural-moderator contribution to the Agreeableness estimate. Fifth, mediator analyses probing self-efficacy, self-regulated learning behaviors, and LMS engagement patterns would clarify the hypothesised association pathway between personality and online achievement, extending the Stajkovic et al. (2018) path-analytic framework to online contexts.</w:t>
      </w:r>
    </w:p>
    <w:p>
      <w:pPr>
        <w:spacing w:line="480" w:lineRule="auto" w:before="0" w:after="0"/>
        <w:ind w:firstLine="720"/>
      </w:pPr>
      <w:r>
        <w:rPr>
          <w:rFonts w:ascii="Times New Roman" w:hAnsi="Times New Roman" w:eastAsia="Times New Roman"/>
          <w:sz w:val="24"/>
        </w:rPr>
        <w:t>Sixth, and building on a suggestion from the peer-review process, the academic discipline (or discipline group) in which online learning takes place should itself be treated as a candidate moderator in future syntheses. The scoping-retained studies of the present review span a heterogeneous mix of disciplines — including psychology, education, information technology and computing, health sciences, business, and mixed general-education contexts — but the number of studies per discipline is too small (typically one to three per discipline in the exploratory quantitative pool) to support a formal discipline-moderator analysis in the present synthesis. As the online-modality Big Five–achievement literature grows, a future update with a larger corpus should record the discipline of each included study as a first-order extraction field, test whether the Conscientiousness–achievement association differs between quantitatively demanding disciplines (e.g., STEM, computing) and less structured ones (e.g., humanities, general education), and test whether the Extraversion–achievement association differs between discipline groups whose online formats typically involve more or less peer interaction. Discipline should be recorded as an ordinal or categorical variable rather than as free text so that it can be pooled reliably across studies.</w:t>
      </w:r>
    </w:p>
    <w:p>
      <w:pPr>
        <w:pStyle w:val="Heading1"/>
        <w:spacing w:line="480" w:lineRule="auto" w:before="0" w:after="0"/>
      </w:pPr>
      <w:r>
        <w:t>Conclusion</w:t>
      </w:r>
    </w:p>
    <w:p>
      <w:pPr>
        <w:spacing w:line="480" w:lineRule="auto" w:before="0" w:after="0"/>
        <w:ind w:firstLine="720"/>
      </w:pPr>
      <w:r>
        <w:rPr>
          <w:rFonts w:ascii="Times New Roman" w:hAnsi="Times New Roman" w:eastAsia="Times New Roman"/>
          <w:sz w:val="24"/>
        </w:rPr>
        <w:t xml:space="preserve">The present meta-analysis provides a first, preliminary quantitative synthesis of Big Five personality traits and academic achievement in online learning environments. Because the exploratory achievement pool comprised only 10 studies, several with very small subgroup </w:t>
      </w:r>
      <w:r>
        <w:rPr>
          <w:rFonts w:ascii="Times New Roman" w:hAnsi="Times New Roman" w:eastAsia="Times New Roman"/>
          <w:i/>
          <w:sz w:val="24"/>
        </w:rPr>
        <w:t>k</w:t>
      </w:r>
      <w:r>
        <w:rPr>
          <w:rFonts w:ascii="Times New Roman" w:hAnsi="Times New Roman" w:eastAsia="Times New Roman"/>
          <w:sz w:val="24"/>
        </w:rPr>
        <w:t xml:space="preserve"> and with wide prediction intervals that include zero for most traits, the conclusions below are best read as tentative hypotheses to be tested in larger future syntheses rather than as established findings. The findings are broadly consistent with, but do not by themselves establish, an extension of the face-to-face pattern to online learning: Conscientiousness emerged as the most plausible positive correlate (</w:t>
      </w:r>
      <w:r>
        <w:rPr>
          <w:rFonts w:ascii="Times New Roman" w:hAnsi="Times New Roman" w:eastAsia="Times New Roman"/>
          <w:i/>
          <w:sz w:val="24"/>
        </w:rPr>
        <w:t>r</w:t>
      </w:r>
      <w:r>
        <w:rPr>
          <w:rFonts w:ascii="Times New Roman" w:hAnsi="Times New Roman" w:eastAsia="Times New Roman"/>
          <w:sz w:val="24"/>
        </w:rPr>
        <w:t xml:space="preserve"> = .167) at somewhat reduced magnitude compared to traditional classroom benchmarks; Extraversion was null on average (</w:t>
      </w:r>
      <w:r>
        <w:rPr>
          <w:rFonts w:ascii="Times New Roman" w:hAnsi="Times New Roman" w:eastAsia="Times New Roman"/>
          <w:i/>
          <w:sz w:val="24"/>
        </w:rPr>
        <w:t>r</w:t>
      </w:r>
      <w:r>
        <w:rPr>
          <w:rFonts w:ascii="Times New Roman" w:hAnsi="Times New Roman" w:eastAsia="Times New Roman"/>
          <w:sz w:val="24"/>
        </w:rPr>
        <w:t xml:space="preserve"> = .002) but with highly heterogeneous subgroup estimates that, in the subset of Asian samples and objective outcomes, were negative; Agreeableness appeared slightly larger than the face-to-face benchmark but was driven primarily by a single Chinese MOOC sample (Yu, 2021), and this finding is fragile to the exclusion of that single study; and Neuroticism and Openness effects were essentially null in the exploratory synthesis. The findings are consistent with the Personality-Achievement Saturation Hypothesis (Meyer et al., 2023) as a framework for understanding the online attenuation of Conscientiousness, but the present evidence base is too small to constitute strong confirmation. The exploratory cultural- and outcome-type-dependent shifts in the Extraversion effect identified here highlight a priority for future primary research, but should not yet be used to guide pedagogical practice. As online and blended instruction continues to constitute a substantial and growing share of post-secondary education globally, the present synthesis provides a preliminary empirical reference point and a baseline for continued meta-analytic monitoring as the post-COVID online learning literature matures.</w:t>
      </w:r>
    </w:p>
    <w:p>
      <w:r>
        <w:br w:type="page"/>
      </w:r>
    </w:p>
    <w:p>
      <w:pPr>
        <w:pStyle w:val="Heading1"/>
        <w:spacing w:line="480" w:lineRule="auto" w:before="0" w:after="0"/>
        <w:jc w:val="center"/>
      </w:pPr>
      <w:r>
        <w:rPr>
          <w:rFonts w:ascii="Times New Roman" w:hAnsi="Times New Roman" w:eastAsia="Times New Roman"/>
          <w:b/>
          <w:sz w:val="24"/>
        </w:rPr>
        <w:t>References</w:t>
      </w:r>
    </w:p>
    <w:p>
      <w:pPr>
        <w:spacing w:line="480" w:lineRule="auto" w:before="0" w:after="0"/>
        <w:ind w:left="720" w:hanging="720"/>
      </w:pPr>
      <w:r>
        <w:rPr>
          <w:rFonts w:ascii="Times New Roman" w:hAnsi="Times New Roman" w:eastAsia="Times New Roman"/>
          <w:sz w:val="24"/>
        </w:rPr>
        <w:t xml:space="preserve">Abe, J. A. A. (2020). Big five, linguistic styles, and successful online learning. </w:t>
      </w:r>
      <w:r>
        <w:rPr>
          <w:rFonts w:ascii="Times New Roman" w:hAnsi="Times New Roman" w:eastAsia="Times New Roman"/>
          <w:i/>
          <w:sz w:val="24"/>
        </w:rPr>
        <w:t>The Internet and Higher Education, 45</w:t>
      </w:r>
      <w:r>
        <w:rPr>
          <w:rFonts w:ascii="Times New Roman" w:hAnsi="Times New Roman" w:eastAsia="Times New Roman"/>
          <w:sz w:val="24"/>
        </w:rPr>
        <w:t>, 100724. https://doi.org/10.1016/j.iheduc.2019.100724</w:t>
      </w:r>
    </w:p>
    <w:p>
      <w:pPr>
        <w:spacing w:line="480" w:lineRule="auto" w:before="0" w:after="0"/>
        <w:ind w:left="720" w:hanging="720"/>
      </w:pPr>
      <w:r>
        <w:rPr>
          <w:rFonts w:ascii="Times New Roman" w:hAnsi="Times New Roman" w:eastAsia="Times New Roman"/>
          <w:sz w:val="24"/>
        </w:rPr>
        <w:t xml:space="preserve">Alkış, </w:t>
      </w:r>
      <w:r>
        <w:rPr>
          <w:rFonts w:ascii="Times New Roman" w:hAnsi="Times New Roman" w:eastAsia="Times New Roman"/>
          <w:i/>
          <w:sz w:val="24"/>
        </w:rPr>
        <w:t>N</w:t>
      </w:r>
      <w:r>
        <w:rPr>
          <w:rFonts w:ascii="Times New Roman" w:hAnsi="Times New Roman" w:eastAsia="Times New Roman"/>
          <w:sz w:val="24"/>
        </w:rPr>
        <w:t>., &amp; Taşkaya Temizel, T. (2018). The impact of motivation and personality on academic performance in online and blended learning environments. Educational Technology &amp; Society, 21(3), 35–47.</w:t>
      </w:r>
    </w:p>
    <w:p>
      <w:pPr>
        <w:spacing w:line="480" w:lineRule="auto" w:before="0" w:after="0"/>
        <w:ind w:left="720" w:hanging="720"/>
      </w:pPr>
      <w:r>
        <w:rPr>
          <w:rFonts w:ascii="Times New Roman" w:hAnsi="Times New Roman" w:eastAsia="Times New Roman"/>
          <w:sz w:val="24"/>
        </w:rPr>
        <w:t xml:space="preserve">Ashouri, A., Taheri, </w:t>
      </w:r>
      <w:r>
        <w:rPr>
          <w:rFonts w:ascii="Times New Roman" w:hAnsi="Times New Roman" w:eastAsia="Times New Roman"/>
          <w:i/>
          <w:sz w:val="24"/>
        </w:rPr>
        <w:t>M</w:t>
      </w:r>
      <w:r>
        <w:rPr>
          <w:rFonts w:ascii="Times New Roman" w:hAnsi="Times New Roman" w:eastAsia="Times New Roman"/>
          <w:sz w:val="24"/>
        </w:rPr>
        <w:t xml:space="preserve">., Rasouli, </w:t>
      </w:r>
      <w:r>
        <w:rPr>
          <w:rFonts w:ascii="Times New Roman" w:hAnsi="Times New Roman" w:eastAsia="Times New Roman"/>
          <w:i/>
          <w:sz w:val="24"/>
        </w:rPr>
        <w:t>M</w:t>
      </w:r>
      <w:r>
        <w:rPr>
          <w:rFonts w:ascii="Times New Roman" w:hAnsi="Times New Roman" w:eastAsia="Times New Roman"/>
          <w:sz w:val="24"/>
        </w:rPr>
        <w:t>., &amp; Rouhalamin, S. (2025). Personality traits and e-learning course satisfaction: A study of health science students. Cureus, 17(7), e89131.</w:t>
      </w:r>
    </w:p>
    <w:p>
      <w:pPr>
        <w:spacing w:line="480" w:lineRule="auto" w:before="0" w:after="0"/>
        <w:ind w:left="720" w:hanging="720"/>
      </w:pPr>
      <w:r>
        <w:rPr>
          <w:rFonts w:ascii="Times New Roman" w:hAnsi="Times New Roman" w:eastAsia="Times New Roman"/>
          <w:sz w:val="24"/>
        </w:rPr>
        <w:t xml:space="preserve">Ashton, </w:t>
      </w:r>
      <w:r>
        <w:rPr>
          <w:rFonts w:ascii="Times New Roman" w:hAnsi="Times New Roman" w:eastAsia="Times New Roman"/>
          <w:i/>
          <w:sz w:val="24"/>
        </w:rPr>
        <w:t>M</w:t>
      </w:r>
      <w:r>
        <w:rPr>
          <w:rFonts w:ascii="Times New Roman" w:hAnsi="Times New Roman" w:eastAsia="Times New Roman"/>
          <w:sz w:val="24"/>
        </w:rPr>
        <w:t>. C., &amp; Lee, K. (2007). Empirical, theoretical, and practical advantages of the HEXACO model of personality structure. Personality and Social Psychology Review, 11(2), 150–166. https://doi.org/10.1177/1088868306294907</w:t>
      </w:r>
    </w:p>
    <w:p>
      <w:pPr>
        <w:spacing w:line="480" w:lineRule="auto" w:before="0" w:after="0"/>
        <w:ind w:left="720" w:hanging="720"/>
      </w:pPr>
      <w:r>
        <w:rPr>
          <w:rFonts w:ascii="Times New Roman" w:hAnsi="Times New Roman" w:eastAsia="Times New Roman"/>
          <w:sz w:val="24"/>
        </w:rPr>
        <w:t xml:space="preserve">Audet, É. C., Levine, S. L., Metin, E., Koestner, S., &amp; Barcan, S. (2021). Zooming their way through university: Which Big 5 traits facilitated students' adjustment to online courses during the COVID-19 pandemic. </w:t>
      </w:r>
      <w:r>
        <w:rPr>
          <w:rFonts w:ascii="Times New Roman" w:hAnsi="Times New Roman" w:eastAsia="Times New Roman"/>
          <w:i/>
          <w:sz w:val="24"/>
        </w:rPr>
        <w:t>Personality and Individual Differences, 180</w:t>
      </w:r>
      <w:r>
        <w:rPr>
          <w:rFonts w:ascii="Times New Roman" w:hAnsi="Times New Roman" w:eastAsia="Times New Roman"/>
          <w:sz w:val="24"/>
        </w:rPr>
        <w:t>, 110969. https://doi.org/10.1016/j.paid.2021.110969</w:t>
      </w:r>
    </w:p>
    <w:p>
      <w:pPr>
        <w:spacing w:line="480" w:lineRule="auto" w:before="0" w:after="0"/>
        <w:ind w:left="720" w:hanging="720"/>
      </w:pPr>
      <w:r>
        <w:rPr>
          <w:rFonts w:ascii="Times New Roman" w:hAnsi="Times New Roman" w:eastAsia="Times New Roman"/>
          <w:sz w:val="24"/>
        </w:rPr>
        <w:t xml:space="preserve">Audet, É. C., Levine, S. L., Dubois, P., Koestner, S., &amp; Koestner, R. (2023). The unanticipated virtual year: How the Big 5 personality traits of openness to experience and conscientiousness impacted engagement in online classes during the COVID-19 crisis. </w:t>
      </w:r>
      <w:r>
        <w:rPr>
          <w:rFonts w:ascii="Times New Roman" w:hAnsi="Times New Roman" w:eastAsia="Times New Roman"/>
          <w:i/>
          <w:sz w:val="24"/>
        </w:rPr>
        <w:t>Journal of College Reading and Learning, 53</w:t>
      </w:r>
      <w:r>
        <w:rPr>
          <w:rFonts w:ascii="Times New Roman" w:hAnsi="Times New Roman" w:eastAsia="Times New Roman"/>
          <w:sz w:val="24"/>
        </w:rPr>
        <w:t>(4), 298–315. https://doi.org/10.1080/10790195.2023.2250402</w:t>
      </w:r>
    </w:p>
    <w:p>
      <w:pPr>
        <w:spacing w:line="480" w:lineRule="auto" w:before="0" w:after="0"/>
        <w:ind w:left="720" w:hanging="720"/>
      </w:pPr>
      <w:r>
        <w:rPr>
          <w:rFonts w:ascii="Times New Roman" w:hAnsi="Times New Roman" w:eastAsia="Times New Roman"/>
          <w:sz w:val="24"/>
        </w:rPr>
        <w:t xml:space="preserve">Bahçekapılı, E., &amp; Karaman, S. (2020). A path analysis of five-factor personality traits, self-efficacy, academic locus of control and academic achievement among online students. </w:t>
      </w:r>
      <w:r>
        <w:rPr>
          <w:rFonts w:ascii="Times New Roman" w:hAnsi="Times New Roman" w:eastAsia="Times New Roman"/>
          <w:i/>
          <w:sz w:val="24"/>
        </w:rPr>
        <w:t>Knowledge Management &amp; E-Learning, 12</w:t>
      </w:r>
      <w:r>
        <w:rPr>
          <w:rFonts w:ascii="Times New Roman" w:hAnsi="Times New Roman" w:eastAsia="Times New Roman"/>
          <w:sz w:val="24"/>
        </w:rPr>
        <w:t>(2), 191–208. https://doi.org/10.34105/j.kmel.2020.12.010</w:t>
      </w:r>
    </w:p>
    <w:p>
      <w:pPr>
        <w:spacing w:line="480" w:lineRule="auto" w:before="0" w:after="0"/>
        <w:ind w:left="720" w:hanging="720"/>
      </w:pPr>
      <w:r>
        <w:rPr>
          <w:rFonts w:ascii="Times New Roman" w:hAnsi="Times New Roman" w:eastAsia="Times New Roman"/>
          <w:sz w:val="24"/>
        </w:rPr>
        <w:t xml:space="preserve">Baruth, O., &amp; Cohen, A. (2023). Personality and satisfaction with online courses: The relation between the Big Five personality traits and satisfaction with online learning activities. </w:t>
      </w:r>
      <w:r>
        <w:rPr>
          <w:rFonts w:ascii="Times New Roman" w:hAnsi="Times New Roman" w:eastAsia="Times New Roman"/>
          <w:i/>
          <w:sz w:val="24"/>
        </w:rPr>
        <w:t>Education and Information Technologies, 28</w:t>
      </w:r>
      <w:r>
        <w:rPr>
          <w:rFonts w:ascii="Times New Roman" w:hAnsi="Times New Roman" w:eastAsia="Times New Roman"/>
          <w:sz w:val="24"/>
        </w:rPr>
        <w:t>, 879–904. https://doi.org/10.1007/s10639-022-11199-x</w:t>
      </w:r>
    </w:p>
    <w:p>
      <w:pPr>
        <w:spacing w:line="480" w:lineRule="auto" w:before="0" w:after="0"/>
        <w:ind w:left="720" w:hanging="720"/>
      </w:pPr>
      <w:r>
        <w:rPr>
          <w:rFonts w:ascii="Times New Roman" w:hAnsi="Times New Roman" w:eastAsia="Times New Roman"/>
          <w:sz w:val="24"/>
        </w:rPr>
        <w:t xml:space="preserve">Bhagat, K. K., Wu, L. Y., &amp; Chang, C. Y. (2019). The impact of personality on students' perceptions towards online learning. </w:t>
      </w:r>
      <w:r>
        <w:rPr>
          <w:rFonts w:ascii="Times New Roman" w:hAnsi="Times New Roman" w:eastAsia="Times New Roman"/>
          <w:i/>
          <w:sz w:val="24"/>
        </w:rPr>
        <w:t>Australasian Journal of Educational Technology, 35</w:t>
      </w:r>
      <w:r>
        <w:rPr>
          <w:rFonts w:ascii="Times New Roman" w:hAnsi="Times New Roman" w:eastAsia="Times New Roman"/>
          <w:sz w:val="24"/>
        </w:rPr>
        <w:t>(4), 98–108. https://doi.org/10.14742/ajet.4162</w:t>
      </w:r>
    </w:p>
    <w:p>
      <w:pPr>
        <w:spacing w:line="480" w:lineRule="auto" w:before="0" w:after="0"/>
        <w:ind w:left="720" w:hanging="720"/>
      </w:pPr>
      <w:r>
        <w:rPr>
          <w:rFonts w:ascii="Times New Roman" w:hAnsi="Times New Roman" w:eastAsia="Times New Roman"/>
          <w:sz w:val="24"/>
        </w:rPr>
        <w:t xml:space="preserve">Bhattacharjee, R. R., &amp; Ramkumar, A. (2025). Effect of big five personality dimensions on the academic performance of college students. </w:t>
      </w:r>
      <w:r>
        <w:rPr>
          <w:rFonts w:ascii="Times New Roman" w:hAnsi="Times New Roman" w:eastAsia="Times New Roman"/>
          <w:i/>
          <w:sz w:val="24"/>
        </w:rPr>
        <w:t>Frontiers in Psychology, 16</w:t>
      </w:r>
      <w:r>
        <w:rPr>
          <w:rFonts w:ascii="Times New Roman" w:hAnsi="Times New Roman" w:eastAsia="Times New Roman"/>
          <w:sz w:val="24"/>
        </w:rPr>
        <w:t>, 1490427. https://doi.org/10.3389/fpsyg.2025.1490427</w:t>
      </w:r>
    </w:p>
    <w:p>
      <w:pPr>
        <w:spacing w:line="480" w:lineRule="auto" w:before="0" w:after="0"/>
        <w:ind w:left="720" w:hanging="720"/>
      </w:pPr>
      <w:r>
        <w:rPr>
          <w:rFonts w:ascii="Times New Roman" w:hAnsi="Times New Roman" w:eastAsia="Times New Roman"/>
          <w:sz w:val="24"/>
        </w:rPr>
        <w:t xml:space="preserve">Boonyapison, K., Sittironnarit, G., &amp; Rattanaumpawan, P. (2025). Association between the big five personalities and academic performance among grade 12 students at international high school in Thailand. </w:t>
      </w:r>
      <w:r>
        <w:rPr>
          <w:rFonts w:ascii="Times New Roman" w:hAnsi="Times New Roman" w:eastAsia="Times New Roman"/>
          <w:i/>
          <w:sz w:val="24"/>
        </w:rPr>
        <w:t>Scientific Reports, 15</w:t>
      </w:r>
      <w:r>
        <w:rPr>
          <w:rFonts w:ascii="Times New Roman" w:hAnsi="Times New Roman" w:eastAsia="Times New Roman"/>
          <w:sz w:val="24"/>
        </w:rPr>
        <w:t>, 16484. https://doi.org/10.1038/s41598-025-01038-7</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(2009). Introduction to meta-analysis. John Wiley &amp; Sons.</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(2021). Introduction to meta-analysis (2nd ed.). John Wiley &amp; Sons.</w:t>
      </w:r>
    </w:p>
    <w:p>
      <w:pPr>
        <w:spacing w:line="480" w:lineRule="auto" w:before="0" w:after="0"/>
        <w:ind w:left="720" w:hanging="720"/>
      </w:pPr>
      <w:r>
        <w:rPr>
          <w:rFonts w:ascii="Times New Roman" w:hAnsi="Times New Roman" w:eastAsia="Times New Roman"/>
          <w:sz w:val="24"/>
        </w:rPr>
        <w:t xml:space="preserve">Broadbent, J., &amp; Poon, W. L. (2015). Self-regulated learning strategies &amp; academic achievement in online higher education learning environments: A systematic review. </w:t>
      </w:r>
      <w:r>
        <w:rPr>
          <w:rFonts w:ascii="Times New Roman" w:hAnsi="Times New Roman" w:eastAsia="Times New Roman"/>
          <w:i/>
          <w:sz w:val="24"/>
        </w:rPr>
        <w:t>The Internet and Higher Education, 27</w:t>
      </w:r>
      <w:r>
        <w:rPr>
          <w:rFonts w:ascii="Times New Roman" w:hAnsi="Times New Roman" w:eastAsia="Times New Roman"/>
          <w:sz w:val="24"/>
        </w:rPr>
        <w:t>, 1–13. https://doi.org/10.1016/j.iheduc.2015.04.007</w:t>
      </w:r>
    </w:p>
    <w:p>
      <w:pPr>
        <w:spacing w:line="480" w:lineRule="auto" w:before="0" w:after="0"/>
        <w:ind w:left="720" w:hanging="720"/>
      </w:pPr>
      <w:r>
        <w:rPr>
          <w:rFonts w:ascii="Times New Roman" w:hAnsi="Times New Roman" w:eastAsia="Times New Roman"/>
          <w:sz w:val="24"/>
        </w:rPr>
        <w:t xml:space="preserve">Chen, S., Cheung, A. C. K., &amp; Zeng, Z. (2025). Big Five personality traits and university students' academic performance: A meta-analysis. </w:t>
      </w:r>
      <w:r>
        <w:rPr>
          <w:rFonts w:ascii="Times New Roman" w:hAnsi="Times New Roman" w:eastAsia="Times New Roman"/>
          <w:i/>
          <w:sz w:val="24"/>
        </w:rPr>
        <w:t>Personality and Individual Differences, 240</w:t>
      </w:r>
      <w:r>
        <w:rPr>
          <w:rFonts w:ascii="Times New Roman" w:hAnsi="Times New Roman" w:eastAsia="Times New Roman"/>
          <w:sz w:val="24"/>
        </w:rPr>
        <w:t>, 113163. https://doi.org/10.1016/j.paid.2025.113163</w:t>
      </w:r>
    </w:p>
    <w:p>
      <w:pPr>
        <w:spacing w:line="480" w:lineRule="auto" w:before="0" w:after="0"/>
        <w:ind w:left="720" w:hanging="720"/>
      </w:pPr>
      <w:r>
        <w:rPr>
          <w:rFonts w:ascii="Times New Roman" w:hAnsi="Times New Roman" w:eastAsia="Times New Roman"/>
          <w:sz w:val="24"/>
        </w:rPr>
        <w:t xml:space="preserve">Cheng, S.-L., Chang, J.-C., Quilantan-Garza, K., &amp; Gutierrez, </w:t>
      </w:r>
      <w:r>
        <w:rPr>
          <w:rFonts w:ascii="Times New Roman" w:hAnsi="Times New Roman" w:eastAsia="Times New Roman"/>
          <w:i/>
          <w:sz w:val="24"/>
        </w:rPr>
        <w:t>M</w:t>
      </w:r>
      <w:r>
        <w:rPr>
          <w:rFonts w:ascii="Times New Roman" w:hAnsi="Times New Roman" w:eastAsia="Times New Roman"/>
          <w:sz w:val="24"/>
        </w:rPr>
        <w:t>. L. (2023). Conscientiousness, prior experience, achievement emotions and academic procrastination in online learning environments. British Journal of Educational Technology, 54(4), 898–923. https://doi.org/10.1111/bjet.13302</w:t>
      </w:r>
    </w:p>
    <w:p>
      <w:pPr>
        <w:spacing w:line="480" w:lineRule="auto" w:before="0" w:after="0"/>
        <w:ind w:left="720" w:hanging="720"/>
      </w:pPr>
      <w:r>
        <w:rPr>
          <w:rFonts w:ascii="Times New Roman" w:hAnsi="Times New Roman" w:eastAsia="Times New Roman"/>
          <w:sz w:val="24"/>
        </w:rPr>
        <w:t xml:space="preserve">Cohen, A., &amp; Baruth, O. (2017). Personality, learning, and satisfaction in fully online academic courses. </w:t>
      </w:r>
      <w:r>
        <w:rPr>
          <w:rFonts w:ascii="Times New Roman" w:hAnsi="Times New Roman" w:eastAsia="Times New Roman"/>
          <w:i/>
          <w:sz w:val="24"/>
        </w:rPr>
        <w:t>Computers in Human Behavior, 72</w:t>
      </w:r>
      <w:r>
        <w:rPr>
          <w:rFonts w:ascii="Times New Roman" w:hAnsi="Times New Roman" w:eastAsia="Times New Roman"/>
          <w:sz w:val="24"/>
        </w:rPr>
        <w:t>, 1–12. https://doi.org/10.1016/j.chb.2017.02.030</w:t>
      </w:r>
    </w:p>
    <w:p>
      <w:pPr>
        <w:spacing w:line="480" w:lineRule="auto" w:before="0" w:after="0"/>
        <w:ind w:left="720" w:hanging="720"/>
      </w:pPr>
      <w:r>
        <w:rPr>
          <w:rFonts w:ascii="Times New Roman" w:hAnsi="Times New Roman" w:eastAsia="Times New Roman"/>
          <w:sz w:val="24"/>
        </w:rPr>
        <w:t xml:space="preserve">Dang, T., Du, W., Niu, </w:t>
      </w:r>
      <w:r>
        <w:rPr>
          <w:rFonts w:ascii="Times New Roman" w:hAnsi="Times New Roman" w:eastAsia="Times New Roman"/>
          <w:i/>
          <w:sz w:val="24"/>
        </w:rPr>
        <w:t>M</w:t>
      </w:r>
      <w:r>
        <w:rPr>
          <w:rFonts w:ascii="Times New Roman" w:hAnsi="Times New Roman" w:eastAsia="Times New Roman"/>
          <w:sz w:val="24"/>
        </w:rPr>
        <w:t>., &amp; Xu, Z. (2025). The effects of personality traits on learning engagement among college students: The mediating role of emotion regulation. Frontiers in Psychology, 15, 1476437. https://doi.org/10.3389/fpsyg.2024.1476437</w:t>
      </w:r>
    </w:p>
    <w:p>
      <w:pPr>
        <w:spacing w:line="480" w:lineRule="auto" w:before="0" w:after="0"/>
        <w:ind w:left="720" w:hanging="720"/>
      </w:pPr>
      <w:r>
        <w:rPr>
          <w:rFonts w:ascii="Times New Roman" w:hAnsi="Times New Roman" w:eastAsia="Times New Roman"/>
          <w:sz w:val="24"/>
        </w:rPr>
        <w:t xml:space="preserve">Duval, S., &amp; Tweedie, R. (2000). Trim and fill: A simple funnel-plot-based method of testing and adjusting for publication bias in meta-analysis. </w:t>
      </w:r>
      <w:r>
        <w:rPr>
          <w:rFonts w:ascii="Times New Roman" w:hAnsi="Times New Roman" w:eastAsia="Times New Roman"/>
          <w:i/>
          <w:sz w:val="24"/>
        </w:rPr>
        <w:t>Biometrics, 56</w:t>
      </w:r>
      <w:r>
        <w:rPr>
          <w:rFonts w:ascii="Times New Roman" w:hAnsi="Times New Roman" w:eastAsia="Times New Roman"/>
          <w:sz w:val="24"/>
        </w:rPr>
        <w:t>(2), 455–463. https://doi.org/10.1111/j.0006-341x.2000.00455.x</w:t>
      </w:r>
    </w:p>
    <w:p>
      <w:pPr>
        <w:spacing w:line="480" w:lineRule="auto" w:before="0" w:after="0"/>
        <w:ind w:left="720" w:hanging="720"/>
      </w:pPr>
      <w:r>
        <w:rPr>
          <w:rFonts w:ascii="Times New Roman" w:hAnsi="Times New Roman" w:eastAsia="Times New Roman"/>
          <w:sz w:val="24"/>
        </w:rPr>
        <w:t xml:space="preserve">Egger, </w:t>
      </w:r>
      <w:r>
        <w:rPr>
          <w:rFonts w:ascii="Times New Roman" w:hAnsi="Times New Roman" w:eastAsia="Times New Roman"/>
          <w:i/>
          <w:sz w:val="24"/>
        </w:rPr>
        <w:t>M</w:t>
      </w:r>
      <w:r>
        <w:rPr>
          <w:rFonts w:ascii="Times New Roman" w:hAnsi="Times New Roman" w:eastAsia="Times New Roman"/>
          <w:sz w:val="24"/>
        </w:rPr>
        <w:t xml:space="preserve">., Davey Smith, G., Schneider, </w:t>
      </w:r>
      <w:r>
        <w:rPr>
          <w:rFonts w:ascii="Times New Roman" w:hAnsi="Times New Roman" w:eastAsia="Times New Roman"/>
          <w:i/>
          <w:sz w:val="24"/>
        </w:rPr>
        <w:t>M</w:t>
      </w:r>
      <w:r>
        <w:rPr>
          <w:rFonts w:ascii="Times New Roman" w:hAnsi="Times New Roman" w:eastAsia="Times New Roman"/>
          <w:sz w:val="24"/>
        </w:rPr>
        <w:t>., &amp; Minder, C. (1997). Bias in meta-analysis detected by a simple, graphical test. BMJ, 315(7109), 629–634. https://doi.org/10.1136/bmj.315.7109.629</w:t>
      </w:r>
    </w:p>
    <w:p>
      <w:pPr>
        <w:spacing w:line="480" w:lineRule="auto" w:before="0" w:after="0"/>
        <w:ind w:left="720" w:hanging="720"/>
      </w:pPr>
      <w:r>
        <w:rPr>
          <w:rFonts w:ascii="Times New Roman" w:hAnsi="Times New Roman" w:eastAsia="Times New Roman"/>
          <w:sz w:val="24"/>
        </w:rPr>
        <w:t xml:space="preserve">Eilam, B., Zeidner, </w:t>
      </w:r>
      <w:r>
        <w:rPr>
          <w:rFonts w:ascii="Times New Roman" w:hAnsi="Times New Roman" w:eastAsia="Times New Roman"/>
          <w:i/>
          <w:sz w:val="24"/>
        </w:rPr>
        <w:t>M</w:t>
      </w:r>
      <w:r>
        <w:rPr>
          <w:rFonts w:ascii="Times New Roman" w:hAnsi="Times New Roman" w:eastAsia="Times New Roman"/>
          <w:sz w:val="24"/>
        </w:rPr>
        <w:t>., &amp; Aharon, I. (2009). Student conscientiousness, self-regulated learning, and science achievement: An explorative field study. Psychology in the Schools, 46(5), 420–432. https://doi.org/10.1002/pits.20387</w:t>
      </w:r>
    </w:p>
    <w:p>
      <w:pPr>
        <w:spacing w:line="480" w:lineRule="auto" w:before="0" w:after="0"/>
        <w:ind w:left="720" w:hanging="720"/>
      </w:pPr>
      <w:r>
        <w:rPr>
          <w:rFonts w:ascii="Times New Roman" w:hAnsi="Times New Roman" w:eastAsia="Times New Roman"/>
          <w:sz w:val="24"/>
        </w:rPr>
        <w:t xml:space="preserve">Elvers, G. C., Polzella, D. J., &amp; Graetz, K. (2003). Procrastination in online courses: Performance and attitudinal differences. </w:t>
      </w:r>
      <w:r>
        <w:rPr>
          <w:rFonts w:ascii="Times New Roman" w:hAnsi="Times New Roman" w:eastAsia="Times New Roman"/>
          <w:i/>
          <w:sz w:val="24"/>
        </w:rPr>
        <w:t>Teaching of Psychology, 30</w:t>
      </w:r>
      <w:r>
        <w:rPr>
          <w:rFonts w:ascii="Times New Roman" w:hAnsi="Times New Roman" w:eastAsia="Times New Roman"/>
          <w:sz w:val="24"/>
        </w:rPr>
        <w:t>(2), 159–162. https://doi.org/10.1207/S15328023TOP3002_13</w:t>
      </w:r>
    </w:p>
    <w:p>
      <w:pPr>
        <w:spacing w:line="480" w:lineRule="auto" w:before="0" w:after="0"/>
        <w:ind w:left="720" w:hanging="720"/>
      </w:pPr>
      <w:r>
        <w:rPr>
          <w:rFonts w:ascii="Times New Roman" w:hAnsi="Times New Roman" w:eastAsia="Times New Roman"/>
          <w:sz w:val="24"/>
        </w:rPr>
        <w:t xml:space="preserve">Gignac, G. E., &amp; Szodorai, E. T. (2016). Effect size guidelines for individual differences researchers. </w:t>
      </w:r>
      <w:r>
        <w:rPr>
          <w:rFonts w:ascii="Times New Roman" w:hAnsi="Times New Roman" w:eastAsia="Times New Roman"/>
          <w:i/>
          <w:sz w:val="24"/>
        </w:rPr>
        <w:t>Personality and Individual Differences, 102</w:t>
      </w:r>
      <w:r>
        <w:rPr>
          <w:rFonts w:ascii="Times New Roman" w:hAnsi="Times New Roman" w:eastAsia="Times New Roman"/>
          <w:sz w:val="24"/>
        </w:rPr>
        <w:t>, 74–78. https://doi.org/10.1016/j.paid.2016.06.069</w:t>
      </w:r>
    </w:p>
    <w:p>
      <w:pPr>
        <w:spacing w:line="480" w:lineRule="auto" w:before="0" w:after="0"/>
        <w:ind w:left="720" w:hanging="720"/>
      </w:pPr>
      <w:r>
        <w:rPr>
          <w:rFonts w:ascii="Times New Roman" w:hAnsi="Times New Roman" w:eastAsia="Times New Roman"/>
          <w:sz w:val="24"/>
        </w:rPr>
        <w:t xml:space="preserve">Harrer, </w:t>
      </w:r>
      <w:r>
        <w:rPr>
          <w:rFonts w:ascii="Times New Roman" w:hAnsi="Times New Roman" w:eastAsia="Times New Roman"/>
          <w:i/>
          <w:sz w:val="24"/>
        </w:rPr>
        <w:t>M</w:t>
      </w:r>
      <w:r>
        <w:rPr>
          <w:rFonts w:ascii="Times New Roman" w:hAnsi="Times New Roman" w:eastAsia="Times New Roman"/>
          <w:sz w:val="24"/>
        </w:rPr>
        <w:t>., Cuijpers, P., Furukawa, T. A., &amp; Ebert, D. D. (2021). Doing meta-analysis with R: A hands-on guide. Chapman &amp; Hall/CRC Press.</w:t>
      </w:r>
    </w:p>
    <w:p>
      <w:pPr>
        <w:spacing w:line="480" w:lineRule="auto" w:before="0" w:after="0"/>
        <w:ind w:left="720" w:hanging="720"/>
      </w:pPr>
      <w:r>
        <w:rPr>
          <w:rFonts w:ascii="Times New Roman" w:hAnsi="Times New Roman" w:eastAsia="Times New Roman"/>
          <w:sz w:val="24"/>
        </w:rPr>
        <w:t xml:space="preserve">Hidalgo-Fuentes, S., Martínez-Álvarez, I., Llamas-Salguero, </w:t>
      </w:r>
      <w:r>
        <w:rPr>
          <w:rFonts w:ascii="Times New Roman" w:hAnsi="Times New Roman" w:eastAsia="Times New Roman"/>
          <w:i/>
          <w:sz w:val="24"/>
        </w:rPr>
        <w:t>F</w:t>
      </w:r>
      <w:r>
        <w:rPr>
          <w:rFonts w:ascii="Times New Roman" w:hAnsi="Times New Roman" w:eastAsia="Times New Roman"/>
          <w:sz w:val="24"/>
        </w:rPr>
        <w:t xml:space="preserve">., Pineda-Zelaya, I. S., Merino-Soto, C., &amp; Chans, G. </w:t>
      </w:r>
      <w:r>
        <w:rPr>
          <w:rFonts w:ascii="Times New Roman" w:hAnsi="Times New Roman" w:eastAsia="Times New Roman"/>
          <w:i/>
          <w:sz w:val="24"/>
        </w:rPr>
        <w:t>M</w:t>
      </w:r>
      <w:r>
        <w:rPr>
          <w:rFonts w:ascii="Times New Roman" w:hAnsi="Times New Roman" w:eastAsia="Times New Roman"/>
          <w:sz w:val="24"/>
        </w:rPr>
        <w:t>. (2024). The role of big five traits and self-esteem on academic procrastination in Honduran and Spanish university students: A cross-cultural study. Heliyon, 10(17), e36172. https://doi.org/10.1016/j.heliyon.2024.e36172</w:t>
      </w:r>
    </w:p>
    <w:p>
      <w:pPr>
        <w:spacing w:line="480" w:lineRule="auto" w:before="0" w:after="0"/>
        <w:ind w:left="720" w:hanging="720"/>
      </w:pPr>
      <w:r>
        <w:rPr>
          <w:rFonts w:ascii="Times New Roman" w:hAnsi="Times New Roman" w:eastAsia="Times New Roman"/>
          <w:sz w:val="24"/>
        </w:rPr>
        <w:t xml:space="preserve">Hunter, E. G., Niblock, J., Barefoot, S., Miller, J., Hughes, J., Kite, L., &amp; Scarletto, E. (2025). The influence of student personality traits on satisfaction and success in online education in higher education: A systematic review. </w:t>
      </w:r>
      <w:r>
        <w:rPr>
          <w:rFonts w:ascii="Times New Roman" w:hAnsi="Times New Roman" w:eastAsia="Times New Roman"/>
          <w:i/>
          <w:sz w:val="24"/>
        </w:rPr>
        <w:t>Journal of Occupational Therapy Education, 9</w:t>
      </w:r>
      <w:r>
        <w:rPr>
          <w:rFonts w:ascii="Times New Roman" w:hAnsi="Times New Roman" w:eastAsia="Times New Roman"/>
          <w:sz w:val="24"/>
        </w:rPr>
        <w:t>(2), Article 9. https://doi.org/10.26681/jote.2025.090209</w:t>
      </w:r>
    </w:p>
    <w:p>
      <w:pPr>
        <w:spacing w:line="480" w:lineRule="auto" w:before="0" w:after="0"/>
        <w:ind w:left="720" w:hanging="720"/>
      </w:pPr>
      <w:r>
        <w:rPr>
          <w:rFonts w:ascii="Times New Roman" w:hAnsi="Times New Roman" w:eastAsia="Times New Roman"/>
          <w:sz w:val="24"/>
        </w:rPr>
        <w:t xml:space="preserve">IntHout, J., Ioannidis, J. P. A., &amp; Borm, G. </w:t>
      </w:r>
      <w:r>
        <w:rPr>
          <w:rFonts w:ascii="Times New Roman" w:hAnsi="Times New Roman" w:eastAsia="Times New Roman"/>
          <w:i/>
          <w:sz w:val="24"/>
        </w:rPr>
        <w:t>F</w:t>
      </w:r>
      <w:r>
        <w:rPr>
          <w:rFonts w:ascii="Times New Roman" w:hAnsi="Times New Roman" w:eastAsia="Times New Roman"/>
          <w:sz w:val="24"/>
        </w:rPr>
        <w:t>. (2014). The Hartung-Knapp-Sidik-Jonkman method for random effects meta-analysis is straightforward and considerably outperforms the standard DerSimonian-Laird method. BMC Medical Research Methodology, 14, 25. https://doi.org/10.1186/1471-2288-14-25</w:t>
      </w:r>
    </w:p>
    <w:p>
      <w:pPr>
        <w:spacing w:line="480" w:lineRule="auto" w:before="0" w:after="0"/>
        <w:ind w:left="720" w:hanging="720"/>
      </w:pPr>
      <w:r>
        <w:rPr>
          <w:rFonts w:ascii="Times New Roman" w:hAnsi="Times New Roman" w:eastAsia="Times New Roman"/>
          <w:sz w:val="24"/>
        </w:rPr>
        <w:t xml:space="preserve">Kara, A., Ergulec, </w:t>
      </w:r>
      <w:r>
        <w:rPr>
          <w:rFonts w:ascii="Times New Roman" w:hAnsi="Times New Roman" w:eastAsia="Times New Roman"/>
          <w:i/>
          <w:sz w:val="24"/>
        </w:rPr>
        <w:t>F</w:t>
      </w:r>
      <w:r>
        <w:rPr>
          <w:rFonts w:ascii="Times New Roman" w:hAnsi="Times New Roman" w:eastAsia="Times New Roman"/>
          <w:sz w:val="24"/>
        </w:rPr>
        <w:t>., &amp; Eren, E. (2024). The mediating role of self-regulated online learning behaviors: Exploring the impact of personality traits on student engagement. Education and Information Technologies, 29, 23517–23546. https://doi.org/10.1007/s10639-024-12755-3</w:t>
      </w:r>
    </w:p>
    <w:p>
      <w:pPr>
        <w:spacing w:line="480" w:lineRule="auto" w:before="0" w:after="0"/>
        <w:ind w:left="720" w:hanging="720"/>
      </w:pPr>
      <w:r>
        <w:rPr>
          <w:rFonts w:ascii="Times New Roman" w:hAnsi="Times New Roman" w:eastAsia="Times New Roman"/>
          <w:sz w:val="24"/>
        </w:rPr>
        <w:t xml:space="preserve">Kaspar, K., Burtniak, K., &amp; Rüth, </w:t>
      </w:r>
      <w:r>
        <w:rPr>
          <w:rFonts w:ascii="Times New Roman" w:hAnsi="Times New Roman" w:eastAsia="Times New Roman"/>
          <w:i/>
          <w:sz w:val="24"/>
        </w:rPr>
        <w:t>M</w:t>
      </w:r>
      <w:r>
        <w:rPr>
          <w:rFonts w:ascii="Times New Roman" w:hAnsi="Times New Roman" w:eastAsia="Times New Roman"/>
          <w:sz w:val="24"/>
        </w:rPr>
        <w:t>. (2023). Online learning during the Covid-19 pandemic: How university students' perceptions, engagement, and performance are related to their personal characteristics. Current Psychology. Advance online publication. https://doi.org/10.1007/s12144-023-04403-9</w:t>
      </w:r>
    </w:p>
    <w:p>
      <w:pPr>
        <w:spacing w:line="480" w:lineRule="auto" w:before="0" w:after="0"/>
        <w:ind w:left="720" w:hanging="720"/>
      </w:pPr>
      <w:r>
        <w:rPr>
          <w:rFonts w:ascii="Times New Roman" w:hAnsi="Times New Roman" w:eastAsia="Times New Roman"/>
          <w:sz w:val="24"/>
        </w:rPr>
        <w:t xml:space="preserve">Keller, H., &amp; Karau, S. J. (2013). The importance of personality in students' perceptions of the online learning experience. </w:t>
      </w:r>
      <w:r>
        <w:rPr>
          <w:rFonts w:ascii="Times New Roman" w:hAnsi="Times New Roman" w:eastAsia="Times New Roman"/>
          <w:i/>
          <w:sz w:val="24"/>
        </w:rPr>
        <w:t>Computers in Human Behavior, 29</w:t>
      </w:r>
      <w:r>
        <w:rPr>
          <w:rFonts w:ascii="Times New Roman" w:hAnsi="Times New Roman" w:eastAsia="Times New Roman"/>
          <w:sz w:val="24"/>
        </w:rPr>
        <w:t>(6), 2494–2500. https://doi.org/10.1016/j.chb.2013.06.007</w:t>
      </w:r>
    </w:p>
    <w:p>
      <w:pPr>
        <w:spacing w:line="480" w:lineRule="auto" w:before="0" w:after="0"/>
        <w:ind w:left="720" w:hanging="720"/>
      </w:pPr>
      <w:r>
        <w:rPr>
          <w:rFonts w:ascii="Times New Roman" w:hAnsi="Times New Roman" w:eastAsia="Times New Roman"/>
          <w:sz w:val="24"/>
        </w:rPr>
        <w:t xml:space="preserve">MacLean, K. A. (2022). </w:t>
      </w:r>
      <w:r>
        <w:rPr>
          <w:rFonts w:ascii="Times New Roman" w:hAnsi="Times New Roman" w:eastAsia="Times New Roman"/>
          <w:i/>
          <w:sz w:val="24"/>
        </w:rPr>
        <w:t>Endorsed, or just enforced? Personality and preferences for online learning during COVID-19</w:t>
      </w:r>
      <w:r>
        <w:rPr>
          <w:rFonts w:ascii="Times New Roman" w:hAnsi="Times New Roman" w:eastAsia="Times New Roman"/>
          <w:sz w:val="24"/>
        </w:rPr>
        <w:t xml:space="preserve"> [Master's thesis, University of Calgary]. PRISM Repository.</w:t>
      </w:r>
    </w:p>
    <w:p>
      <w:pPr>
        <w:spacing w:line="480" w:lineRule="auto" w:before="0" w:after="0"/>
        <w:ind w:left="720" w:hanging="720"/>
      </w:pPr>
      <w:r>
        <w:rPr>
          <w:rFonts w:ascii="Times New Roman" w:hAnsi="Times New Roman" w:eastAsia="Times New Roman"/>
          <w:sz w:val="24"/>
        </w:rPr>
        <w:t xml:space="preserve">Mammadov, S. (2022). Big Five personality traits and academic performance: A meta-analysis. </w:t>
      </w:r>
      <w:r>
        <w:rPr>
          <w:rFonts w:ascii="Times New Roman" w:hAnsi="Times New Roman" w:eastAsia="Times New Roman"/>
          <w:i/>
          <w:sz w:val="24"/>
        </w:rPr>
        <w:t>Journal of Personality, 90</w:t>
      </w:r>
      <w:r>
        <w:rPr>
          <w:rFonts w:ascii="Times New Roman" w:hAnsi="Times New Roman" w:eastAsia="Times New Roman"/>
          <w:sz w:val="24"/>
        </w:rPr>
        <w:t>(2), 222–255. https://doi.org/10.1111/jopy.12663</w:t>
      </w:r>
    </w:p>
    <w:p>
      <w:pPr>
        <w:spacing w:line="480" w:lineRule="auto" w:before="0" w:after="0"/>
        <w:ind w:left="720" w:hanging="720"/>
      </w:pPr>
      <w:r>
        <w:rPr>
          <w:rFonts w:ascii="Times New Roman" w:hAnsi="Times New Roman" w:eastAsia="Times New Roman"/>
          <w:sz w:val="24"/>
        </w:rPr>
        <w:t xml:space="preserve">McAbee, S. T., &amp; Oswald, </w:t>
      </w:r>
      <w:r>
        <w:rPr>
          <w:rFonts w:ascii="Times New Roman" w:hAnsi="Times New Roman" w:eastAsia="Times New Roman"/>
          <w:i/>
          <w:sz w:val="24"/>
        </w:rPr>
        <w:t>F</w:t>
      </w:r>
      <w:r>
        <w:rPr>
          <w:rFonts w:ascii="Times New Roman" w:hAnsi="Times New Roman" w:eastAsia="Times New Roman"/>
          <w:sz w:val="24"/>
        </w:rPr>
        <w:t>. L. (2013). The criterion-related validity of personality measures for predicting GPA: A meta-analytic validity competition. Psychological Assessment, 25(2), 532–544. https://doi.org/10.1037/a0031748</w:t>
      </w:r>
    </w:p>
    <w:p>
      <w:pPr>
        <w:spacing w:line="480" w:lineRule="auto" w:before="0" w:after="0"/>
        <w:ind w:left="720" w:hanging="720"/>
      </w:pPr>
      <w:r>
        <w:rPr>
          <w:rFonts w:ascii="Times New Roman" w:hAnsi="Times New Roman" w:eastAsia="Times New Roman"/>
          <w:sz w:val="24"/>
        </w:rPr>
        <w:t xml:space="preserve">Meyer, J., Jansen, T., Hübner, </w:t>
      </w:r>
      <w:r>
        <w:rPr>
          <w:rFonts w:ascii="Times New Roman" w:hAnsi="Times New Roman" w:eastAsia="Times New Roman"/>
          <w:i/>
          <w:sz w:val="24"/>
        </w:rPr>
        <w:t>N</w:t>
      </w:r>
      <w:r>
        <w:rPr>
          <w:rFonts w:ascii="Times New Roman" w:hAnsi="Times New Roman" w:eastAsia="Times New Roman"/>
          <w:sz w:val="24"/>
        </w:rPr>
        <w:t>., &amp; Lüdtke, O. (2023). Disentangling the association between the Big Five personality traits and student achievement: Meta-analytic evidence on the role of domain specificity and achievement measures. Educational Psychology Review, 35, Article 12. https://doi.org/10.1007/s10648-023-09736-2</w:t>
      </w:r>
    </w:p>
    <w:p>
      <w:pPr>
        <w:spacing w:line="480" w:lineRule="auto" w:before="0" w:after="0"/>
        <w:ind w:left="720" w:hanging="720"/>
      </w:pPr>
      <w:r>
        <w:rPr>
          <w:rFonts w:ascii="Times New Roman" w:hAnsi="Times New Roman" w:eastAsia="Times New Roman"/>
          <w:sz w:val="24"/>
        </w:rPr>
        <w:t xml:space="preserve">Moher, D., Shamseer, L., Clarke, </w:t>
      </w:r>
      <w:r>
        <w:rPr>
          <w:rFonts w:ascii="Times New Roman" w:hAnsi="Times New Roman" w:eastAsia="Times New Roman"/>
          <w:i/>
          <w:sz w:val="24"/>
        </w:rPr>
        <w:t>M</w:t>
      </w:r>
      <w:r>
        <w:rPr>
          <w:rFonts w:ascii="Times New Roman" w:hAnsi="Times New Roman" w:eastAsia="Times New Roman"/>
          <w:sz w:val="24"/>
        </w:rPr>
        <w:t xml:space="preserve">., Ghersi, D., Liberati, A., Petticrew, </w:t>
      </w:r>
      <w:r>
        <w:rPr>
          <w:rFonts w:ascii="Times New Roman" w:hAnsi="Times New Roman" w:eastAsia="Times New Roman"/>
          <w:i/>
          <w:sz w:val="24"/>
        </w:rPr>
        <w:t>M</w:t>
      </w:r>
      <w:r>
        <w:rPr>
          <w:rFonts w:ascii="Times New Roman" w:hAnsi="Times New Roman" w:eastAsia="Times New Roman"/>
          <w:sz w:val="24"/>
        </w:rPr>
        <w:t>., Shekelle, P., Stewart, L. A., &amp; PRISMA-P Group. (2015). Preferred reporting items for systematic review and meta-analysis protocols (PRISMA-P) 2015 statement. Systematic Reviews, 4(1), 1. https://doi.org/10.1186/2046-4053-4-1</w:t>
      </w:r>
    </w:p>
    <w:p>
      <w:pPr>
        <w:spacing w:line="480" w:lineRule="auto" w:before="0" w:after="0"/>
        <w:ind w:left="720" w:hanging="720"/>
      </w:pPr>
      <w:r>
        <w:rPr>
          <w:rFonts w:ascii="Times New Roman" w:hAnsi="Times New Roman" w:eastAsia="Times New Roman"/>
          <w:sz w:val="24"/>
        </w:rPr>
        <w:t xml:space="preserve">Moola, S., Munn, Z., Tufanaru, C., Aromataris, E., Sears, K., Sfetcu, R., Currie, </w:t>
      </w:r>
      <w:r>
        <w:rPr>
          <w:rFonts w:ascii="Times New Roman" w:hAnsi="Times New Roman" w:eastAsia="Times New Roman"/>
          <w:i/>
          <w:sz w:val="24"/>
        </w:rPr>
        <w:t>M</w:t>
      </w:r>
      <w:r>
        <w:rPr>
          <w:rFonts w:ascii="Times New Roman" w:hAnsi="Times New Roman" w:eastAsia="Times New Roman"/>
          <w:sz w:val="24"/>
        </w:rPr>
        <w:t>., Qureshi, R., Mattis, P., Lisy, K., &amp; Mu, P.-F. (2017). Chapter 7: Systematic reviews of etiology and risk. In E. Aromataris &amp; Z. Munn (Eds.), Joanna Briggs Institute Reviewer's Manual. The Joanna Briggs Institute.</w:t>
      </w:r>
    </w:p>
    <w:p>
      <w:pPr>
        <w:spacing w:line="480" w:lineRule="auto" w:before="0" w:after="0"/>
        <w:ind w:left="720" w:hanging="720"/>
      </w:pPr>
      <w:r>
        <w:rPr>
          <w:rFonts w:ascii="Times New Roman" w:hAnsi="Times New Roman" w:eastAsia="Times New Roman"/>
          <w:sz w:val="24"/>
        </w:rPr>
        <w:t xml:space="preserve">Munn, Z., Peters, </w:t>
      </w:r>
      <w:r>
        <w:rPr>
          <w:rFonts w:ascii="Times New Roman" w:hAnsi="Times New Roman" w:eastAsia="Times New Roman"/>
          <w:i/>
          <w:sz w:val="24"/>
        </w:rPr>
        <w:t>M</w:t>
      </w:r>
      <w:r>
        <w:rPr>
          <w:rFonts w:ascii="Times New Roman" w:hAnsi="Times New Roman" w:eastAsia="Times New Roman"/>
          <w:sz w:val="24"/>
        </w:rPr>
        <w:t>. D. J., Stern, C., Tufanaru, C., McArthur, A., &amp; Aromataris, E. (2018). Systematic review or scoping review? Guidance for authors when choosing between a systematic or scoping review approach. BMC Medical Research Methodology, 18, 143. https://doi.org/10.1186/s12874-018-0611-x</w:t>
      </w:r>
    </w:p>
    <w:p>
      <w:pPr>
        <w:spacing w:line="480" w:lineRule="auto" w:before="0" w:after="0"/>
        <w:ind w:left="720" w:hanging="720"/>
      </w:pPr>
      <w:r>
        <w:rPr>
          <w:rFonts w:ascii="Times New Roman" w:hAnsi="Times New Roman" w:eastAsia="Times New Roman"/>
          <w:sz w:val="24"/>
        </w:rPr>
        <w:t xml:space="preserve">Mustafa, S., Qiao, Y., Yan, X., Anwar, A., Hao, T., &amp; Rana, S. (2022). Digital students' satisfaction with and intention to use online teaching modes, role of Big Five personality traits. </w:t>
      </w:r>
      <w:r>
        <w:rPr>
          <w:rFonts w:ascii="Times New Roman" w:hAnsi="Times New Roman" w:eastAsia="Times New Roman"/>
          <w:i/>
          <w:sz w:val="24"/>
        </w:rPr>
        <w:t>Frontiers in Psychology, 13</w:t>
      </w:r>
      <w:r>
        <w:rPr>
          <w:rFonts w:ascii="Times New Roman" w:hAnsi="Times New Roman" w:eastAsia="Times New Roman"/>
          <w:sz w:val="24"/>
        </w:rPr>
        <w:t>, 956281. https://doi.org/10.3389/fpsyg.2022.956281</w:t>
      </w:r>
    </w:p>
    <w:p>
      <w:pPr>
        <w:spacing w:line="480" w:lineRule="auto" w:before="0" w:after="0"/>
        <w:ind w:left="720" w:hanging="720"/>
      </w:pPr>
      <w:r>
        <w:rPr>
          <w:rFonts w:ascii="Times New Roman" w:hAnsi="Times New Roman" w:eastAsia="Times New Roman"/>
          <w:sz w:val="24"/>
        </w:rPr>
        <w:t xml:space="preserve">Nakayama, </w:t>
      </w:r>
      <w:r>
        <w:rPr>
          <w:rFonts w:ascii="Times New Roman" w:hAnsi="Times New Roman" w:eastAsia="Times New Roman"/>
          <w:i/>
          <w:sz w:val="24"/>
        </w:rPr>
        <w:t>M</w:t>
      </w:r>
      <w:r>
        <w:rPr>
          <w:rFonts w:ascii="Times New Roman" w:hAnsi="Times New Roman" w:eastAsia="Times New Roman"/>
          <w:sz w:val="24"/>
        </w:rPr>
        <w:t>., Mutsuura, K., &amp; Yamamoto, H. (2014). Impact of learner's characteristics and learning behaviour on learning performance during a fully online course. Electronic Journal of e-Learning, 12(4), 394–408.</w:t>
      </w:r>
    </w:p>
    <w:p>
      <w:pPr>
        <w:spacing w:line="480" w:lineRule="auto" w:before="0" w:after="0"/>
        <w:ind w:left="720" w:hanging="720"/>
      </w:pPr>
      <w:r>
        <w:rPr>
          <w:rFonts w:ascii="Times New Roman" w:hAnsi="Times New Roman" w:eastAsia="Times New Roman"/>
          <w:sz w:val="24"/>
        </w:rPr>
        <w:t xml:space="preserve">Page, </w:t>
      </w:r>
      <w:r>
        <w:rPr>
          <w:rFonts w:ascii="Times New Roman" w:hAnsi="Times New Roman" w:eastAsia="Times New Roman"/>
          <w:i/>
          <w:sz w:val="24"/>
        </w:rPr>
        <w:t>M</w:t>
      </w:r>
      <w:r>
        <w:rPr>
          <w:rFonts w:ascii="Times New Roman" w:hAnsi="Times New Roman" w:eastAsia="Times New Roman"/>
          <w:sz w:val="24"/>
        </w:rPr>
        <w:t xml:space="preserve">. J., McKenzie, J. E., Bossuyt, P. </w:t>
      </w:r>
      <w:r>
        <w:rPr>
          <w:rFonts w:ascii="Times New Roman" w:hAnsi="Times New Roman" w:eastAsia="Times New Roman"/>
          <w:i/>
          <w:sz w:val="24"/>
        </w:rPr>
        <w:t>M</w:t>
      </w:r>
      <w:r>
        <w:rPr>
          <w:rFonts w:ascii="Times New Roman" w:hAnsi="Times New Roman" w:eastAsia="Times New Roman"/>
          <w:sz w:val="24"/>
        </w:rPr>
        <w:t xml:space="preserve">., Boutron, I., Hoffmann, T. C., Mulrow, C. D., Shamseer, L., Tetzlaff, J. </w:t>
      </w:r>
      <w:r>
        <w:rPr>
          <w:rFonts w:ascii="Times New Roman" w:hAnsi="Times New Roman" w:eastAsia="Times New Roman"/>
          <w:i/>
          <w:sz w:val="24"/>
        </w:rPr>
        <w:t>M</w:t>
      </w:r>
      <w:r>
        <w:rPr>
          <w:rFonts w:ascii="Times New Roman" w:hAnsi="Times New Roman" w:eastAsia="Times New Roman"/>
          <w:sz w:val="24"/>
        </w:rPr>
        <w:t xml:space="preserve">., Akl, E. A., Brennan, S. E., Chou, R., Glanville, J., Grimshaw, J. </w:t>
      </w:r>
      <w:r>
        <w:rPr>
          <w:rFonts w:ascii="Times New Roman" w:hAnsi="Times New Roman" w:eastAsia="Times New Roman"/>
          <w:i/>
          <w:sz w:val="24"/>
        </w:rPr>
        <w:t>M</w:t>
      </w:r>
      <w:r>
        <w:rPr>
          <w:rFonts w:ascii="Times New Roman" w:hAnsi="Times New Roman" w:eastAsia="Times New Roman"/>
          <w:sz w:val="24"/>
        </w:rPr>
        <w:t xml:space="preserve">., Hróbjartsson, A., Lalu, </w:t>
      </w:r>
      <w:r>
        <w:rPr>
          <w:rFonts w:ascii="Times New Roman" w:hAnsi="Times New Roman" w:eastAsia="Times New Roman"/>
          <w:i/>
          <w:sz w:val="24"/>
        </w:rPr>
        <w:t>M</w:t>
      </w:r>
      <w:r>
        <w:rPr>
          <w:rFonts w:ascii="Times New Roman" w:hAnsi="Times New Roman" w:eastAsia="Times New Roman"/>
          <w:sz w:val="24"/>
        </w:rPr>
        <w:t xml:space="preserve">. </w:t>
      </w:r>
      <w:r>
        <w:rPr>
          <w:rFonts w:ascii="Times New Roman" w:hAnsi="Times New Roman" w:eastAsia="Times New Roman"/>
          <w:i/>
          <w:sz w:val="24"/>
        </w:rPr>
        <w:t>M</w:t>
      </w:r>
      <w:r>
        <w:rPr>
          <w:rFonts w:ascii="Times New Roman" w:hAnsi="Times New Roman" w:eastAsia="Times New Roman"/>
          <w:sz w:val="24"/>
        </w:rPr>
        <w:t>., Li, T., Loder, E. W., Mayo-Wilson, E., McDonald, S., … Moher, D. (2021). The PRISMA 2020 statement: An updated guideline for reporting systematic reviews. BMJ, 372, n71. https://doi.org/10.1136/bmj.n71</w:t>
      </w:r>
    </w:p>
    <w:p>
      <w:pPr>
        <w:spacing w:line="480" w:lineRule="auto" w:before="0" w:after="0"/>
        <w:ind w:left="720" w:hanging="720"/>
      </w:pPr>
      <w:r>
        <w:rPr>
          <w:rFonts w:ascii="Times New Roman" w:hAnsi="Times New Roman" w:eastAsia="Times New Roman"/>
          <w:sz w:val="24"/>
        </w:rPr>
        <w:t xml:space="preserve">Paulhus, D. L. (1998). Interpersonal and intrapsychic adaptiveness of trait self-enhancement: A mixed blessing? </w:t>
      </w:r>
      <w:r>
        <w:rPr>
          <w:rFonts w:ascii="Times New Roman" w:hAnsi="Times New Roman" w:eastAsia="Times New Roman"/>
          <w:i/>
          <w:sz w:val="24"/>
        </w:rPr>
        <w:t>Journal of Personality and Social Psychology, 74</w:t>
      </w:r>
      <w:r>
        <w:rPr>
          <w:rFonts w:ascii="Times New Roman" w:hAnsi="Times New Roman" w:eastAsia="Times New Roman"/>
          <w:sz w:val="24"/>
        </w:rPr>
        <w:t>(5), 1197–1208. https://doi.org/10.1037/0022-3514.74.5.1197</w:t>
      </w:r>
    </w:p>
    <w:p>
      <w:pPr>
        <w:spacing w:line="480" w:lineRule="auto" w:before="0" w:after="0"/>
        <w:ind w:left="720" w:hanging="720"/>
      </w:pPr>
      <w:r>
        <w:rPr>
          <w:rFonts w:ascii="Times New Roman" w:hAnsi="Times New Roman" w:eastAsia="Times New Roman"/>
          <w:sz w:val="24"/>
        </w:rPr>
        <w:t xml:space="preserve">Peterson, R. A., &amp; Brown, S. P. (2005). On the use of beta coefficients in meta-analysis. </w:t>
      </w:r>
      <w:r>
        <w:rPr>
          <w:rFonts w:ascii="Times New Roman" w:hAnsi="Times New Roman" w:eastAsia="Times New Roman"/>
          <w:i/>
          <w:sz w:val="24"/>
        </w:rPr>
        <w:t>Journal of Applied Psychology, 90</w:t>
      </w:r>
      <w:r>
        <w:rPr>
          <w:rFonts w:ascii="Times New Roman" w:hAnsi="Times New Roman" w:eastAsia="Times New Roman"/>
          <w:sz w:val="24"/>
        </w:rPr>
        <w:t>(1), 175–181. https://doi.org/10.1037/0021-9010.90.1.175</w:t>
      </w:r>
    </w:p>
    <w:p>
      <w:pPr>
        <w:spacing w:line="480" w:lineRule="auto" w:before="0" w:after="0"/>
        <w:ind w:left="720" w:hanging="720"/>
      </w:pPr>
      <w:r>
        <w:rPr>
          <w:rFonts w:ascii="Times New Roman" w:hAnsi="Times New Roman" w:eastAsia="Times New Roman"/>
          <w:sz w:val="24"/>
        </w:rPr>
        <w:t xml:space="preserve">Poropat, A. E. (2009). A meta-analysis of the five-factor model of personality and academic performance. </w:t>
      </w:r>
      <w:r>
        <w:rPr>
          <w:rFonts w:ascii="Times New Roman" w:hAnsi="Times New Roman" w:eastAsia="Times New Roman"/>
          <w:i/>
          <w:sz w:val="24"/>
        </w:rPr>
        <w:t>Psychological Bulletin, 135</w:t>
      </w:r>
      <w:r>
        <w:rPr>
          <w:rFonts w:ascii="Times New Roman" w:hAnsi="Times New Roman" w:eastAsia="Times New Roman"/>
          <w:sz w:val="24"/>
        </w:rPr>
        <w:t>(2), 322–338. https://doi.org/10.1037/a0014996</w:t>
      </w:r>
    </w:p>
    <w:p>
      <w:pPr>
        <w:spacing w:line="480" w:lineRule="auto" w:before="0" w:after="0"/>
        <w:ind w:left="720" w:hanging="720"/>
      </w:pPr>
      <w:r>
        <w:rPr>
          <w:rFonts w:ascii="Times New Roman" w:hAnsi="Times New Roman" w:eastAsia="Times New Roman"/>
          <w:sz w:val="24"/>
        </w:rPr>
        <w:t xml:space="preserve">Pustejovsky, J. E. (2023). </w:t>
      </w:r>
      <w:r>
        <w:rPr>
          <w:rFonts w:ascii="Times New Roman" w:hAnsi="Times New Roman" w:eastAsia="Times New Roman"/>
          <w:i/>
          <w:sz w:val="24"/>
        </w:rPr>
        <w:t>clubSandwich: Cluster-robust (sandwich) variance estimators with small-sample corrections</w:t>
      </w:r>
      <w:r>
        <w:rPr>
          <w:rFonts w:ascii="Times New Roman" w:hAnsi="Times New Roman" w:eastAsia="Times New Roman"/>
          <w:sz w:val="24"/>
        </w:rPr>
        <w:t xml:space="preserve"> (R package version 0.5.10) [Computer software]. https://CRAN.R-project.org/package=clubSandwich</w:t>
      </w:r>
    </w:p>
    <w:p>
      <w:pPr>
        <w:spacing w:line="480" w:lineRule="auto" w:before="0" w:after="0"/>
        <w:ind w:left="720" w:hanging="720"/>
      </w:pPr>
      <w:r>
        <w:rPr>
          <w:rFonts w:ascii="Times New Roman" w:hAnsi="Times New Roman" w:eastAsia="Times New Roman"/>
          <w:sz w:val="24"/>
        </w:rPr>
        <w:t xml:space="preserve">Quigley, </w:t>
      </w:r>
      <w:r>
        <w:rPr>
          <w:rFonts w:ascii="Times New Roman" w:hAnsi="Times New Roman" w:eastAsia="Times New Roman"/>
          <w:i/>
          <w:sz w:val="24"/>
        </w:rPr>
        <w:t>M</w:t>
      </w:r>
      <w:r>
        <w:rPr>
          <w:rFonts w:ascii="Times New Roman" w:hAnsi="Times New Roman" w:eastAsia="Times New Roman"/>
          <w:sz w:val="24"/>
        </w:rPr>
        <w:t>., Bradley, A., Playfoot, D., &amp; Harrad, R. (2022). Personality traits and stress perception as predictors of students' online engagement during the COVID-19 pandemic. Personality and Individual Differences, 194, 111645. https://doi.org/10.1016/j.paid.2022.111645</w:t>
      </w:r>
    </w:p>
    <w:p>
      <w:pPr>
        <w:spacing w:line="480" w:lineRule="auto" w:before="0" w:after="0"/>
        <w:ind w:left="720" w:hanging="720"/>
      </w:pPr>
      <w:r>
        <w:rPr>
          <w:rFonts w:ascii="Times New Roman" w:hAnsi="Times New Roman" w:eastAsia="Times New Roman"/>
          <w:sz w:val="24"/>
        </w:rPr>
        <w:t xml:space="preserve">Raudenbush, S. W. (2009). Analyzing effect sizes: Random-effects models. In H. Cooper, L. V. Hedges, &amp; J. C. Valentine (Eds.), </w:t>
      </w:r>
      <w:r>
        <w:rPr>
          <w:rFonts w:ascii="Times New Roman" w:hAnsi="Times New Roman" w:eastAsia="Times New Roman"/>
          <w:i/>
          <w:sz w:val="24"/>
        </w:rPr>
        <w:t>The handbook of research synthesis and meta-analysis</w:t>
      </w:r>
      <w:r>
        <w:rPr>
          <w:rFonts w:ascii="Times New Roman" w:hAnsi="Times New Roman" w:eastAsia="Times New Roman"/>
          <w:sz w:val="24"/>
        </w:rPr>
        <w:t xml:space="preserve"> (2nd ed., pp. 295–315). Russell Sage Foundation.</w:t>
      </w:r>
    </w:p>
    <w:p>
      <w:pPr>
        <w:spacing w:line="480" w:lineRule="auto" w:before="0" w:after="0"/>
        <w:ind w:left="720" w:hanging="720"/>
      </w:pPr>
      <w:r>
        <w:rPr>
          <w:rFonts w:ascii="Times New Roman" w:hAnsi="Times New Roman" w:eastAsia="Times New Roman"/>
          <w:sz w:val="24"/>
        </w:rPr>
        <w:t xml:space="preserve">Rivers, D. J. (2021). The role of personality traits and online academic self-efficacy in acceptance, actual use and achievement in Moodle. </w:t>
      </w:r>
      <w:r>
        <w:rPr>
          <w:rFonts w:ascii="Times New Roman" w:hAnsi="Times New Roman" w:eastAsia="Times New Roman"/>
          <w:i/>
          <w:sz w:val="24"/>
        </w:rPr>
        <w:t>Education and Information Technologies, 26</w:t>
      </w:r>
      <w:r>
        <w:rPr>
          <w:rFonts w:ascii="Times New Roman" w:hAnsi="Times New Roman" w:eastAsia="Times New Roman"/>
          <w:sz w:val="24"/>
        </w:rPr>
        <w:t>(4), 4353–4378. https://doi.org/10.1007/s10639-021-10478-3</w:t>
      </w:r>
    </w:p>
    <w:p>
      <w:pPr>
        <w:spacing w:line="480" w:lineRule="auto" w:before="0" w:after="0"/>
        <w:ind w:left="720" w:hanging="720"/>
      </w:pPr>
      <w:r>
        <w:rPr>
          <w:rFonts w:ascii="Times New Roman" w:hAnsi="Times New Roman" w:eastAsia="Times New Roman"/>
          <w:sz w:val="24"/>
        </w:rPr>
        <w:t xml:space="preserve">Rodrigues, J., Rose, R., &amp; Hewig, J. (2024). The relation of Big Five personality traits on academic performance, well-being and home study satisfaction in corona times. </w:t>
      </w:r>
      <w:r>
        <w:rPr>
          <w:rFonts w:ascii="Times New Roman" w:hAnsi="Times New Roman" w:eastAsia="Times New Roman"/>
          <w:i/>
          <w:sz w:val="24"/>
        </w:rPr>
        <w:t>European Journal of Investigation in Health, Psychology and Education, 14</w:t>
      </w:r>
      <w:r>
        <w:rPr>
          <w:rFonts w:ascii="Times New Roman" w:hAnsi="Times New Roman" w:eastAsia="Times New Roman"/>
          <w:sz w:val="24"/>
        </w:rPr>
        <w:t>(2), 368–384. https://doi.org/10.3390/ejihpe14020025</w:t>
      </w:r>
    </w:p>
    <w:p>
      <w:pPr>
        <w:spacing w:line="480" w:lineRule="auto" w:before="0" w:after="0"/>
        <w:ind w:left="720" w:hanging="720"/>
      </w:pPr>
      <w:r>
        <w:rPr>
          <w:rFonts w:ascii="Times New Roman" w:hAnsi="Times New Roman" w:eastAsia="Times New Roman"/>
          <w:sz w:val="24"/>
        </w:rPr>
        <w:t xml:space="preserve">Sahinidis, A. G., &amp; Tsaknis, P. A. (2021). Exploring the relationship of the Big Five personality traits with student satisfaction with synchronous online academic learning: The case of Covid-19-induced changes. In A. Kavoura, S. Kefallonitis, &amp; P. Theodoridis (Eds.), </w:t>
      </w:r>
      <w:r>
        <w:rPr>
          <w:rFonts w:ascii="Times New Roman" w:hAnsi="Times New Roman" w:eastAsia="Times New Roman"/>
          <w:i/>
          <w:sz w:val="24"/>
        </w:rPr>
        <w:t>Strategic Innovative Marketing and Tourism</w:t>
      </w:r>
      <w:r>
        <w:rPr>
          <w:rFonts w:ascii="Times New Roman" w:hAnsi="Times New Roman" w:eastAsia="Times New Roman"/>
          <w:sz w:val="24"/>
        </w:rPr>
        <w:t xml:space="preserve"> (pp. 116–130). Springer. https://doi.org/10.1007/978-3-030-66154-0_10</w:t>
      </w:r>
    </w:p>
    <w:p>
      <w:pPr>
        <w:spacing w:line="480" w:lineRule="auto" w:before="0" w:after="0"/>
        <w:ind w:left="720" w:hanging="720"/>
      </w:pPr>
      <w:r>
        <w:rPr>
          <w:rFonts w:ascii="Times New Roman" w:hAnsi="Times New Roman" w:eastAsia="Times New Roman"/>
          <w:sz w:val="24"/>
        </w:rPr>
        <w:t xml:space="preserve">Schünemann, H. J., Higgins, J. P. T., Vist, G. E., Glasziou, P., Akl, E. A., Skoetz, </w:t>
      </w:r>
      <w:r>
        <w:rPr>
          <w:rFonts w:ascii="Times New Roman" w:hAnsi="Times New Roman" w:eastAsia="Times New Roman"/>
          <w:i/>
          <w:sz w:val="24"/>
        </w:rPr>
        <w:t>N</w:t>
      </w:r>
      <w:r>
        <w:rPr>
          <w:rFonts w:ascii="Times New Roman" w:hAnsi="Times New Roman" w:eastAsia="Times New Roman"/>
          <w:sz w:val="24"/>
        </w:rPr>
        <w:t xml:space="preserve">., &amp; Guyatt, G. H. (2019). Chapter 14: Completing "Summary of findings" tables and grading the certainty of the evidence. In J. P. T. Higgins, J. Thomas, J. Chandler, </w:t>
      </w:r>
      <w:r>
        <w:rPr>
          <w:rFonts w:ascii="Times New Roman" w:hAnsi="Times New Roman" w:eastAsia="Times New Roman"/>
          <w:i/>
          <w:sz w:val="24"/>
        </w:rPr>
        <w:t>M</w:t>
      </w:r>
      <w:r>
        <w:rPr>
          <w:rFonts w:ascii="Times New Roman" w:hAnsi="Times New Roman" w:eastAsia="Times New Roman"/>
          <w:sz w:val="24"/>
        </w:rPr>
        <w:t xml:space="preserve">. Cumpston, T. Li, </w:t>
      </w:r>
      <w:r>
        <w:rPr>
          <w:rFonts w:ascii="Times New Roman" w:hAnsi="Times New Roman" w:eastAsia="Times New Roman"/>
          <w:i/>
          <w:sz w:val="24"/>
        </w:rPr>
        <w:t>M</w:t>
      </w:r>
      <w:r>
        <w:rPr>
          <w:rFonts w:ascii="Times New Roman" w:hAnsi="Times New Roman" w:eastAsia="Times New Roman"/>
          <w:sz w:val="24"/>
        </w:rPr>
        <w:t>. J. Page, &amp; V. A. Welch (Eds.), Cochrane handbook for systematic reviews of interventions (2nd ed.). John Wiley &amp; Sons.</w:t>
      </w:r>
    </w:p>
    <w:p>
      <w:pPr>
        <w:spacing w:line="480" w:lineRule="auto" w:before="0" w:after="0"/>
        <w:ind w:left="720" w:hanging="720"/>
      </w:pPr>
      <w:r>
        <w:rPr>
          <w:rFonts w:ascii="Times New Roman" w:hAnsi="Times New Roman" w:eastAsia="Times New Roman"/>
          <w:sz w:val="24"/>
        </w:rPr>
        <w:t xml:space="preserve">Simonsohn, U., Nelson, L. D., &amp; Simmons, J. P. (2014). P-curve: A key to the file-drawer. </w:t>
      </w:r>
      <w:r>
        <w:rPr>
          <w:rFonts w:ascii="Times New Roman" w:hAnsi="Times New Roman" w:eastAsia="Times New Roman"/>
          <w:i/>
          <w:sz w:val="24"/>
        </w:rPr>
        <w:t>Journal of Experimental Psychology: General, 143</w:t>
      </w:r>
      <w:r>
        <w:rPr>
          <w:rFonts w:ascii="Times New Roman" w:hAnsi="Times New Roman" w:eastAsia="Times New Roman"/>
          <w:sz w:val="24"/>
        </w:rPr>
        <w:t>(2), 534–547. https://doi.org/10.1037/a0033242</w:t>
      </w:r>
    </w:p>
    <w:p>
      <w:pPr>
        <w:spacing w:line="480" w:lineRule="auto" w:before="0" w:after="0"/>
        <w:ind w:left="720" w:hanging="720"/>
      </w:pPr>
      <w:r>
        <w:rPr>
          <w:rFonts w:ascii="Times New Roman" w:hAnsi="Times New Roman" w:eastAsia="Times New Roman"/>
          <w:sz w:val="24"/>
        </w:rPr>
        <w:t xml:space="preserve">Stajkovic, A. D., Bandura, A., Locke, E. A., Lee, D., &amp; Sergent, K. (2018). Test of three conceptual models of influence of the big five personality traits and self-efficacy on academic performance: A meta-analytic path-analysis. </w:t>
      </w:r>
      <w:r>
        <w:rPr>
          <w:rFonts w:ascii="Times New Roman" w:hAnsi="Times New Roman" w:eastAsia="Times New Roman"/>
          <w:i/>
          <w:sz w:val="24"/>
        </w:rPr>
        <w:t>Personality and Individual Differences, 120</w:t>
      </w:r>
      <w:r>
        <w:rPr>
          <w:rFonts w:ascii="Times New Roman" w:hAnsi="Times New Roman" w:eastAsia="Times New Roman"/>
          <w:sz w:val="24"/>
        </w:rPr>
        <w:t>, 238–245. https://doi.org/10.1016/j.paid.2017.08.014</w:t>
      </w:r>
    </w:p>
    <w:p>
      <w:pPr>
        <w:spacing w:line="480" w:lineRule="auto" w:before="0" w:after="0"/>
        <w:ind w:left="720" w:hanging="720"/>
      </w:pPr>
      <w:r>
        <w:rPr>
          <w:rFonts w:ascii="Times New Roman" w:hAnsi="Times New Roman" w:eastAsia="Times New Roman"/>
          <w:sz w:val="24"/>
        </w:rPr>
        <w:t xml:space="preserve">Tett, R. P., &amp; Burnett, D. D. (2003). A personality trait-based interactionist model of job performance. </w:t>
      </w:r>
      <w:r>
        <w:rPr>
          <w:rFonts w:ascii="Times New Roman" w:hAnsi="Times New Roman" w:eastAsia="Times New Roman"/>
          <w:i/>
          <w:sz w:val="24"/>
        </w:rPr>
        <w:t>Journal of Applied Psychology, 88</w:t>
      </w:r>
      <w:r>
        <w:rPr>
          <w:rFonts w:ascii="Times New Roman" w:hAnsi="Times New Roman" w:eastAsia="Times New Roman"/>
          <w:sz w:val="24"/>
        </w:rPr>
        <w:t>(3), 500–517. https://doi.org/10.1037/0021-9010.88.3.500</w:t>
      </w:r>
    </w:p>
    <w:p>
      <w:pPr>
        <w:spacing w:line="480" w:lineRule="auto" w:before="0" w:after="0"/>
        <w:ind w:left="720" w:hanging="720"/>
      </w:pPr>
      <w:r>
        <w:rPr>
          <w:rFonts w:ascii="Times New Roman" w:hAnsi="Times New Roman" w:eastAsia="Times New Roman"/>
          <w:sz w:val="24"/>
        </w:rPr>
        <w:t xml:space="preserve">Tipton, E. (2015). Small sample adjustments for robust variance estimation with meta-regression. </w:t>
      </w:r>
      <w:r>
        <w:rPr>
          <w:rFonts w:ascii="Times New Roman" w:hAnsi="Times New Roman" w:eastAsia="Times New Roman"/>
          <w:i/>
          <w:sz w:val="24"/>
        </w:rPr>
        <w:t>Psychological Methods, 20</w:t>
      </w:r>
      <w:r>
        <w:rPr>
          <w:rFonts w:ascii="Times New Roman" w:hAnsi="Times New Roman" w:eastAsia="Times New Roman"/>
          <w:sz w:val="24"/>
        </w:rPr>
        <w:t>(3), 375–393. https://doi.org/10.1037/met0000011</w:t>
      </w:r>
    </w:p>
    <w:p>
      <w:pPr>
        <w:spacing w:line="480" w:lineRule="auto" w:before="0" w:after="0"/>
        <w:ind w:left="720" w:hanging="720"/>
      </w:pPr>
      <w:r>
        <w:rPr>
          <w:rFonts w:ascii="Times New Roman" w:hAnsi="Times New Roman" w:eastAsia="Times New Roman"/>
          <w:sz w:val="24"/>
        </w:rPr>
        <w:t xml:space="preserve">Tricco, A. C., Lillie, E., Zarin, W., O'Brien, K. K., Colquhoun, H., Levac, D., Moher, D., Peters, </w:t>
      </w:r>
      <w:r>
        <w:rPr>
          <w:rFonts w:ascii="Times New Roman" w:hAnsi="Times New Roman" w:eastAsia="Times New Roman"/>
          <w:i/>
          <w:sz w:val="24"/>
        </w:rPr>
        <w:t>M</w:t>
      </w:r>
      <w:r>
        <w:rPr>
          <w:rFonts w:ascii="Times New Roman" w:hAnsi="Times New Roman" w:eastAsia="Times New Roman"/>
          <w:sz w:val="24"/>
        </w:rPr>
        <w:t xml:space="preserve">. D. J., Horsley, T., Weeks, L., Hempel, S., Akl, E. A., Chang, C., McGowan, J., Stewart, L., Hartling, L., Aldcroft, A., Wilson, </w:t>
      </w:r>
      <w:r>
        <w:rPr>
          <w:rFonts w:ascii="Times New Roman" w:hAnsi="Times New Roman" w:eastAsia="Times New Roman"/>
          <w:i/>
          <w:sz w:val="24"/>
        </w:rPr>
        <w:t>M</w:t>
      </w:r>
      <w:r>
        <w:rPr>
          <w:rFonts w:ascii="Times New Roman" w:hAnsi="Times New Roman" w:eastAsia="Times New Roman"/>
          <w:sz w:val="24"/>
        </w:rPr>
        <w:t>. G., Garritty, C., … Straus, S. E. (2018). PRISMA Extension for Scoping Reviews (PRISMA-ScR): Checklist and explanation. Annals of Internal Medicine, 169(7), 467–473. https://doi.org/10.7326/M18-0850</w:t>
      </w:r>
    </w:p>
    <w:p>
      <w:pPr>
        <w:spacing w:line="480" w:lineRule="auto" w:before="0" w:after="0"/>
        <w:ind w:left="720" w:hanging="720"/>
      </w:pPr>
      <w:r>
        <w:rPr>
          <w:rFonts w:ascii="Times New Roman" w:hAnsi="Times New Roman" w:eastAsia="Times New Roman"/>
          <w:sz w:val="24"/>
        </w:rPr>
        <w:t xml:space="preserve">Tlili, A., Sun, T., Denden, </w:t>
      </w:r>
      <w:r>
        <w:rPr>
          <w:rFonts w:ascii="Times New Roman" w:hAnsi="Times New Roman" w:eastAsia="Times New Roman"/>
          <w:i/>
          <w:sz w:val="24"/>
        </w:rPr>
        <w:t>M</w:t>
      </w:r>
      <w:r>
        <w:rPr>
          <w:rFonts w:ascii="Times New Roman" w:hAnsi="Times New Roman" w:eastAsia="Times New Roman"/>
          <w:sz w:val="24"/>
        </w:rPr>
        <w:t>., Kinshuk, Graf, S., Fei, C., &amp; Wang, H. (2023). Impact of personality traits on learners' navigational behavior patterns in an online course: A lag sequential analysis approach. Frontiers in Psychology, 14, 1071985. https://doi.org/10.3389/fpsyg.2023.1071985</w:t>
      </w:r>
    </w:p>
    <w:p>
      <w:pPr>
        <w:spacing w:line="480" w:lineRule="auto" w:before="0" w:after="0"/>
        <w:ind w:left="720" w:hanging="720"/>
      </w:pPr>
      <w:r>
        <w:rPr>
          <w:rFonts w:ascii="Times New Roman" w:hAnsi="Times New Roman" w:eastAsia="Times New Roman"/>
          <w:sz w:val="24"/>
        </w:rPr>
        <w:t xml:space="preserve">Tokiwa, E. (2025). Who excels in online learning in Japan? </w:t>
      </w:r>
      <w:r>
        <w:rPr>
          <w:rFonts w:ascii="Times New Roman" w:hAnsi="Times New Roman" w:eastAsia="Times New Roman"/>
          <w:i/>
          <w:sz w:val="24"/>
        </w:rPr>
        <w:t>Frontiers in Psychology, 16</w:t>
      </w:r>
      <w:r>
        <w:rPr>
          <w:rFonts w:ascii="Times New Roman" w:hAnsi="Times New Roman" w:eastAsia="Times New Roman"/>
          <w:sz w:val="24"/>
        </w:rPr>
        <w:t>, Article 1420996. https://doi.org/10.3389/fpsyg.2025.1420996</w:t>
      </w:r>
    </w:p>
    <w:p>
      <w:pPr>
        <w:spacing w:line="480" w:lineRule="auto" w:before="0" w:after="0"/>
        <w:ind w:left="720" w:hanging="720"/>
      </w:pPr>
      <w:r>
        <w:rPr>
          <w:rFonts w:ascii="Times New Roman" w:hAnsi="Times New Roman" w:eastAsia="Times New Roman"/>
          <w:sz w:val="24"/>
        </w:rPr>
        <w:t xml:space="preserve">Vedel, A. (2014). The Big Five and tertiary academic performance: A systematic review and meta-analysis. </w:t>
      </w:r>
      <w:r>
        <w:rPr>
          <w:rFonts w:ascii="Times New Roman" w:hAnsi="Times New Roman" w:eastAsia="Times New Roman"/>
          <w:i/>
          <w:sz w:val="24"/>
        </w:rPr>
        <w:t>Personality and Individual Differences, 71</w:t>
      </w:r>
      <w:r>
        <w:rPr>
          <w:rFonts w:ascii="Times New Roman" w:hAnsi="Times New Roman" w:eastAsia="Times New Roman"/>
          <w:sz w:val="24"/>
        </w:rPr>
        <w:t>, 66–76. https://doi.org/10.1016/j.paid.2014.07.011</w:t>
      </w:r>
    </w:p>
    <w:p>
      <w:pPr>
        <w:spacing w:line="480" w:lineRule="auto" w:before="0" w:after="0"/>
        <w:ind w:left="720" w:hanging="720"/>
      </w:pPr>
      <w:r>
        <w:rPr>
          <w:rFonts w:ascii="Times New Roman" w:hAnsi="Times New Roman" w:eastAsia="Times New Roman"/>
          <w:sz w:val="24"/>
        </w:rPr>
        <w:t xml:space="preserve">Viechtbauer, W. (2010). Conducting meta-analyses in R with the metafor package. </w:t>
      </w:r>
      <w:r>
        <w:rPr>
          <w:rFonts w:ascii="Times New Roman" w:hAnsi="Times New Roman" w:eastAsia="Times New Roman"/>
          <w:i/>
          <w:sz w:val="24"/>
        </w:rPr>
        <w:t>Journal of Statistical Software, 36</w:t>
      </w:r>
      <w:r>
        <w:rPr>
          <w:rFonts w:ascii="Times New Roman" w:hAnsi="Times New Roman" w:eastAsia="Times New Roman"/>
          <w:sz w:val="24"/>
        </w:rPr>
        <w:t>(3), 1–48. https://doi.org/10.18637/jss.v036.i03</w:t>
      </w:r>
    </w:p>
    <w:p>
      <w:pPr>
        <w:spacing w:line="480" w:lineRule="auto" w:before="0" w:after="0"/>
        <w:ind w:left="720" w:hanging="720"/>
      </w:pPr>
      <w:r>
        <w:rPr>
          <w:rFonts w:ascii="Times New Roman" w:hAnsi="Times New Roman" w:eastAsia="Times New Roman"/>
          <w:sz w:val="24"/>
        </w:rPr>
        <w:t xml:space="preserve">Wang, P., Wang, </w:t>
      </w:r>
      <w:r>
        <w:rPr>
          <w:rFonts w:ascii="Times New Roman" w:hAnsi="Times New Roman" w:eastAsia="Times New Roman"/>
          <w:i/>
          <w:sz w:val="24"/>
        </w:rPr>
        <w:t>F</w:t>
      </w:r>
      <w:r>
        <w:rPr>
          <w:rFonts w:ascii="Times New Roman" w:hAnsi="Times New Roman" w:eastAsia="Times New Roman"/>
          <w:sz w:val="24"/>
        </w:rPr>
        <w:t>., &amp; Li, Z. (2023). Exploring the ecosystem of K-12 online learning: An empirical study of impact mechanisms in the post-pandemic era. Frontiers in Psychology, 14, 1241477. https://doi.org/10.3389/fpsyg.2023.1241477</w:t>
      </w:r>
    </w:p>
    <w:p>
      <w:pPr>
        <w:spacing w:line="480" w:lineRule="auto" w:before="0" w:after="0"/>
        <w:ind w:left="720" w:hanging="720"/>
      </w:pPr>
      <w:r>
        <w:rPr>
          <w:rFonts w:ascii="Times New Roman" w:hAnsi="Times New Roman" w:eastAsia="Times New Roman"/>
          <w:sz w:val="24"/>
        </w:rPr>
        <w:t xml:space="preserve">Wu, R., &amp; Yu, Z. (2024). Relationship between university students' personalities and e-learning engagement mediated by achievement emotions and adaptability. </w:t>
      </w:r>
      <w:r>
        <w:rPr>
          <w:rFonts w:ascii="Times New Roman" w:hAnsi="Times New Roman" w:eastAsia="Times New Roman"/>
          <w:i/>
          <w:sz w:val="24"/>
        </w:rPr>
        <w:t>Education and Information Technologies, 29</w:t>
      </w:r>
      <w:r>
        <w:rPr>
          <w:rFonts w:ascii="Times New Roman" w:hAnsi="Times New Roman" w:eastAsia="Times New Roman"/>
          <w:sz w:val="24"/>
        </w:rPr>
        <w:t>, 10821–10850. https://doi.org/10.1007/s10639-023-12222-5</w:t>
      </w:r>
    </w:p>
    <w:p>
      <w:pPr>
        <w:spacing w:line="480" w:lineRule="auto" w:before="0" w:after="0"/>
        <w:ind w:left="720" w:hanging="720"/>
      </w:pPr>
      <w:r>
        <w:rPr>
          <w:rFonts w:ascii="Times New Roman" w:hAnsi="Times New Roman" w:eastAsia="Times New Roman"/>
          <w:sz w:val="24"/>
        </w:rPr>
        <w:t xml:space="preserve">Yu, Z. (2021). The effects of gender, educational level, and personality on online learning outcomes during the COVID-19 pandemic. </w:t>
      </w:r>
      <w:r>
        <w:rPr>
          <w:rFonts w:ascii="Times New Roman" w:hAnsi="Times New Roman" w:eastAsia="Times New Roman"/>
          <w:i/>
          <w:sz w:val="24"/>
        </w:rPr>
        <w:t>International Journal of Educational Technology in Higher Education, 18</w:t>
      </w:r>
      <w:r>
        <w:rPr>
          <w:rFonts w:ascii="Times New Roman" w:hAnsi="Times New Roman" w:eastAsia="Times New Roman"/>
          <w:sz w:val="24"/>
        </w:rPr>
        <w:t>, Article 14. https://doi.org/10.1186/s41239-021-00252-3</w:t>
      </w:r>
    </w:p>
    <w:p>
      <w:pPr>
        <w:spacing w:line="480" w:lineRule="auto" w:before="0" w:after="0"/>
        <w:ind w:left="720" w:hanging="720"/>
      </w:pPr>
      <w:r>
        <w:rPr>
          <w:rFonts w:ascii="Times New Roman" w:hAnsi="Times New Roman" w:eastAsia="Times New Roman"/>
          <w:sz w:val="24"/>
        </w:rPr>
        <w:t xml:space="preserve">Zell, E., &amp; Lesick, T. L. (2022). Big five personality traits and performance: A quantitative synthesis of 50+ meta-analyses. </w:t>
      </w:r>
      <w:r>
        <w:rPr>
          <w:rFonts w:ascii="Times New Roman" w:hAnsi="Times New Roman" w:eastAsia="Times New Roman"/>
          <w:i/>
          <w:sz w:val="24"/>
        </w:rPr>
        <w:t>Journal of Personality, 90</w:t>
      </w:r>
      <w:r>
        <w:rPr>
          <w:rFonts w:ascii="Times New Roman" w:hAnsi="Times New Roman" w:eastAsia="Times New Roman"/>
          <w:sz w:val="24"/>
        </w:rPr>
        <w:t>(4), 559–573. https://doi.org/10.1111/jopy.12683</w:t>
      </w:r>
    </w:p>
    <w:p>
      <w:pPr>
        <w:spacing w:line="480" w:lineRule="auto" w:before="0" w:after="0"/>
        <w:ind w:left="720" w:hanging="720"/>
      </w:pPr>
      <w:r>
        <w:rPr>
          <w:rFonts w:ascii="Times New Roman" w:hAnsi="Times New Roman" w:eastAsia="Times New Roman"/>
          <w:sz w:val="24"/>
        </w:rPr>
        <w:t xml:space="preserve">Zheng, Y., &amp; Zheng, S. (2023). Exploring educational impacts among pre, during and post COVID-19 lockdowns from students with different personality traits. </w:t>
      </w:r>
      <w:r>
        <w:rPr>
          <w:rFonts w:ascii="Times New Roman" w:hAnsi="Times New Roman" w:eastAsia="Times New Roman"/>
          <w:i/>
          <w:sz w:val="24"/>
        </w:rPr>
        <w:t>International Journal of Educational Technology in Higher Education, 20</w:t>
      </w:r>
      <w:r>
        <w:rPr>
          <w:rFonts w:ascii="Times New Roman" w:hAnsi="Times New Roman" w:eastAsia="Times New Roman"/>
          <w:sz w:val="24"/>
        </w:rPr>
        <w:t>(1), 21. https://doi.org/10.1186/s41239-023-00388-4</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eastAsia="Times New Roman"/>
        <w:sz w:val="24"/>
      </w:rPr>
      <w:t>BIG FIVE AND ONLINE LEARNING</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