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Characteristics of the 31 Included Primary Studies and Their Contributions to the Quantitative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Author (Year)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Country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Mode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Level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Region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Instrument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Outcome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Inclusion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RoB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Abe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92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Alkis (2018)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Ashouri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Iran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678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Exc-dup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Sahinidis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555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Greece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Custom 30-item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Cohen (2017)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Keller (2013)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IPIP-50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Bhattacharjee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384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India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Boonyapison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Thailand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746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Sec/Post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BFI_C_only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Baruth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Dang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235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NEO-FFI_Chinese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Elvers (2003)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procrastination_exam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Hidalgo-Fuentes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457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Honduras+Spain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Kara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Bhagat (2019)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Mini-IPIP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MacLean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HEXACO-PI-R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preference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Mustafa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Nakayama (2014)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test_score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Inc-sec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Quigley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UK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engagement_performance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Rodrigues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260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Tlili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Tunisia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Other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navigational_behavior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Tokiwa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test_completion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 (COI)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Wang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1625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achievement_self_report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Wu_Yu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e_learning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Yu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1152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 Scale (McCrae)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MOOC_composite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Bahcekapili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Turkish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Kaspar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 German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performance_self_rated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Rivers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149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Zheng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282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Mixed_3era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Inc-pri*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ID = study identifier in the deep-reading-notes ledger (A-XX sequence).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analytic sample size. Mode (modality): Online = fully online; FtF = face-to-face (excluded at modality screening); Mixed = blended or mode-comparing design; Online* = mode not explicitly specified in the source. Level (education level): UG = undergraduate; Grad = graduate; UG/Grad = mixed undergraduate-graduate; K-12 = elementary through high school; Sec/Post = mixed secondary-postsecondary. Era: pre-COVID ≤ 2019; COVID = 2020–2022; post-COVID ≥ 2023. Region: classified per country of data collection. Instrument: abbreviated personality inventory label. Outcome: abbreviated outcome construct. Inclusion column groups studies into three tiers: (1) QUANTITATIVE PRIMARY POOL (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10) — Inc-pri = included in exploratory achievement pool with direct r; Inc-pri* = included with caveat (β-converted, partial trait coverage, or conditional outcome proxy); Inc (COI) = included with conflict-of-interest flag (author's own prior study, sensitivity analysis excludes). (2) QUALITATIVE / SECONDARY SYNTHESIS (retained for narrative) — Inc-sec = retained in the systematic review for secondary outcomes (satisfaction, engagement, preference, perception) but no extractable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for the exploratory achievement pool. (3) EXCLUDED POST-ELIGIBILITY (documented for PRISMA transparency, NOT in synthesis) — Exc = excluded at eligibility (face-to-face modality, or no extractable effect size); Exc-dup = excluded due to sample overlap with an already-included study; — = PDF could not be retrieved. The 31 catalogued studies decompose as: 10 primary + 15 secondary = 25 retained, plus 6 documented post-eligibility exclusions. RoB = aggregate score on the Joanna Briggs Institute 8-item critical appraisal checklist (0–8; higher = lower risk). A-14 Eilam (2009) and A-27 Wu &amp; Yu (2024) are omitted from the table because the former was excluded at the modality screening stage (face-to-face) and the latter was not available as a retrievable PDF; both are disclosed in the PRISMA flow (Figure 1). Author-correction notes for studies whose original bibliographic metadata differed from the verified author, year, or country (A-06, A-07, A-08, A-12, A-13, A-16, A-18, A-20) are provided in the OSF project (Supplementary Material).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Random-Effects Pooled Correlations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CI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PI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τ²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[.089, .243]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[−.020, .343]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65.1%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25.79(9), .002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[−.031, .250]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[−.310, .496]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96.2%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208.49(8),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[−.044, .214]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[−.273, .425]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92.0%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.021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100.17(8),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[−.079, .114]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[−.229, .263]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79.0%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42.76(9),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[−.076, .080]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[−.195, .200]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75.5%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32.66(8), &lt;.001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independent samples contributing a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Peterson-Brown-converted </w:t>
      </w:r>
      <w:r>
        <w:rPr>
          <w:rFonts w:ascii="Times New Roman" w:hAnsi="Times New Roman" w:eastAsia="Times New Roman"/>
          <w:i/>
          <w:sz w:val="24"/>
        </w:rPr>
        <w:t>β</w:t>
      </w:r>
      <w:r>
        <w:rPr>
          <w:rFonts w:ascii="Times New Roman" w:hAnsi="Times New Roman" w:eastAsia="Times New Roman"/>
          <w:sz w:val="24"/>
        </w:rPr>
        <w:t xml:space="preserve"> to the trait pool.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total pooled sample size.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= random-effects REML pooled correlation on the Fisher </w:t>
      </w:r>
      <w:r>
        <w:rPr>
          <w:rFonts w:ascii="Times New Roman" w:hAnsi="Times New Roman" w:eastAsia="Times New Roman"/>
          <w:i/>
          <w:sz w:val="24"/>
        </w:rPr>
        <w:t>z</w:t>
      </w:r>
      <w:r>
        <w:rPr>
          <w:rFonts w:ascii="Times New Roman" w:hAnsi="Times New Roman" w:eastAsia="Times New Roman"/>
          <w:sz w:val="24"/>
        </w:rPr>
        <w:t xml:space="preserve"> scale, back-transformed to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for display. 95% CI = Hartung-Knapp-Sidik-Jonkman–adjusted confidence interval. 95% PI = prediction interval for true effects in a new study.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= Higgins &amp; Thompson's heterogeneity index. </w:t>
      </w:r>
      <w:r>
        <w:rPr>
          <w:rFonts w:ascii="Times New Roman" w:hAnsi="Times New Roman" w:eastAsia="Times New Roman"/>
          <w:i/>
          <w:sz w:val="24"/>
        </w:rPr>
        <w:t>τ²</w:t>
      </w:r>
      <w:r>
        <w:rPr>
          <w:rFonts w:ascii="Times New Roman" w:hAnsi="Times New Roman" w:eastAsia="Times New Roman"/>
          <w:sz w:val="24"/>
        </w:rPr>
        <w:t xml:space="preserve"> = REML between-study variance. </w:t>
      </w:r>
      <w:r>
        <w:rPr>
          <w:rFonts w:ascii="Times New Roman" w:hAnsi="Times New Roman" w:eastAsia="Times New Roman"/>
          <w:i/>
          <w:sz w:val="24"/>
        </w:rPr>
        <w:t>Q</w:t>
      </w:r>
      <w:r>
        <w:rPr>
          <w:rFonts w:ascii="Times New Roman" w:hAnsi="Times New Roman" w:eastAsia="Times New Roman"/>
          <w:sz w:val="24"/>
        </w:rPr>
        <w:t xml:space="preserve"> = Cochran's heterogeneity statistic; </w:t>
      </w:r>
      <w:r>
        <w:rPr>
          <w:rFonts w:ascii="Times New Roman" w:hAnsi="Times New Roman" w:eastAsia="Times New Roman"/>
          <w:i/>
          <w:sz w:val="24"/>
        </w:rPr>
        <w:t>df</w:t>
      </w:r>
      <w:r>
        <w:rPr>
          <w:rFonts w:ascii="Times New Roman" w:hAnsi="Times New Roman" w:eastAsia="Times New Roman"/>
          <w:sz w:val="24"/>
        </w:rPr>
        <w:t xml:space="preserve"> = degrees of freedom;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associated p-value. Traits are sorted by pooled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(descending).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Subgroup Moderator Analyses: Region, Era, and Outcome Type per Big Five Trait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Moderator / 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Level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Q_between(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.185 [.082, .284]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2.68(1), .102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.111 [−.039, .257]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.053 [−.060, .164]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0.26(1), .612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.164 [−.989, .994]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.050 [−.004, .104]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46.43(1),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−.131 [−.314, .061]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 [−.047, .106]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2.17(1), .140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.330 [−.981, .995]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−.007 [−.130, .117]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3.31(1), .069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.089 [.008, .169]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.208 [−.041, .434]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0.13(1), .716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.179 [.095, .260]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.098 [−.423, .570]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0.00(1), .994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[−.123, .308]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[.002, .063]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0.59(1), .443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−.014 [−.180, .153]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[−.162, .225]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1.09(1), .296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.153 [−.141, .422]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−.050 [−.173, .074]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2.04(1), .153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.060 [−.125, .240]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.147 [.048,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2.40(1), .121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.225 [−.167, .556]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.092 [−.086, .265]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0.04(1), .839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.072 [−.637, .715]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 [−.115, .039]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17.30(1),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.117 [−.136, .356]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.131 [−.054, .308]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0.49(1), .485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.041 [−.862, .881]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−.009 [−.097,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0.82(1), .364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.120 [−.926, .954]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studies contributing to each subgroup. </w:t>
      </w:r>
      <w:r>
        <w:rPr>
          <w:rFonts w:ascii="Times New Roman" w:hAnsi="Times New Roman" w:eastAsia="Times New Roman"/>
          <w:i/>
          <w:sz w:val="24"/>
        </w:rPr>
        <w:t>Q_between</w:t>
      </w:r>
      <w:r>
        <w:rPr>
          <w:rFonts w:ascii="Times New Roman" w:hAnsi="Times New Roman" w:eastAsia="Times New Roman"/>
          <w:sz w:val="24"/>
        </w:rPr>
        <w:t xml:space="preserve"> = between-subgroup heterogeneity statistic testing whether subgroups' pooled effects differ significantly. Dagger (†) indicates the two significant subgroup differences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.001 after Holm-Bonferroni correction within the Extraversion trait pool. Categorical levels: Asia = East or Middle Eastern samples; non-Asia = European, North American, or Other regions. Era: pre-COVID = data collected ≤2019; COVID-era = 2020–2022. Post-COVID studies (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2) were insufficient for subgroup isolation. Outcome type: objective = GPA, course grade, standardized exam, or MOOC platform composite; self-rated = student self-reported performance.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Pre-Specified Sensitivity Analyses of the Primary Pooled Effect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Analysis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Δr vs primary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.203 [.105, .298]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+.036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.182 [.111, .252]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2.14,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.094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.031 [−.117, .178]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−.055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[−.052, .242]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−6.41,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.045 †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.107 [−.017, .228]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[−.087, .122]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.003 [−.088, .093]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2.29,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.255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−.036 [−.117, .046]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.067 [−.015, .148]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.126 [−.036, .281]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−8.53,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.072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−.043 [−.126, .040]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−.061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.019 [−.093, .130]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−1.79,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.304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Δr = change in pooled correlation from the primary analysis. A double dagger (‡) denotes a sensitivity-analysis-induced shift exceeding |Δr| = .05, which is considered potentially influential per the pre-registered threshold. A single dagger (†) denotes a significant Egger test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.05. "Exclude Tokiwa (COI)" removes the present author's prior primary study (Tokiwa, 2025); the zero delta reflects that this study did not contribute a direct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to the exploratory pool. "Exclude β-converted" restricts the pool to studies reporting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Spearman </w:t>
      </w:r>
      <w:r>
        <w:rPr>
          <w:rFonts w:ascii="Times New Roman" w:hAnsi="Times New Roman" w:eastAsia="Times New Roman"/>
          <w:i/>
          <w:sz w:val="24"/>
        </w:rPr>
        <w:t>ρ</w:t>
      </w:r>
      <w:r>
        <w:rPr>
          <w:rFonts w:ascii="Times New Roman" w:hAnsi="Times New Roman" w:eastAsia="Times New Roman"/>
          <w:sz w:val="24"/>
        </w:rPr>
        <w:t>. "Exclude RoB &lt; 5" removes studies scoring below the pre-specified low-bias threshold of 5 on the JBI 8-item checklist.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Completeness-of-Evidence Summary: Confidence in the Pooled Associations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Trait 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Risk of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Inconsistency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Indirectness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Imprecision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Publication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Magnitude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GRADE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Conscientiousness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JBI=5.80)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=65.1%)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(CI width=.15)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=.094)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=.167)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Openness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=92.0%)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=.045)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=.086)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Extraversion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=75.5%)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(null robust)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=.255)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=.002)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Agreeableness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=96.2%)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=.072)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=.112)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Neuroticism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JBI=5.80)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=79.0%)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(null, wide CI)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=.304)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=.018)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Note. GRADE = Grading of Recommendations, Assessment, Development and Evaluations, adapted for observational correlational syntheses (Schünemann et al., 2019). Five standard domains are evaluated per trait: Risk of Bias (mean JBI aggregate score across studies in the pool; serious if mean &lt; 5), Inconsistency (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and prediction interval;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50%, very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75%), Indirectness (population, exposure, or outcome indirectness relative to the review question), Imprecision (serious if 95% CI crosses the null or is wider than 2 × MOI of |r| = .10), and Publication Bias (serious if Egger's test is significant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 with asymmetric funnel plot). Magnitude (|r|) is provided for descriptive context but was not grounds for upgrade under the large-magnitude criterion of |r| ≥ .30. Dagger (†) denotes Egger's test intercept suggestive of small-study or publication bias. GRADE ratings: High = further research is very unlikely to change confidence; Moderate = further research is likely to have an important impact; Low = further research is very likely to have an important impact; Very Low = any estimate of effect is very uncertain. All estimates in the present synthesis fall within the Moderate-to-Low confidence range, reflecting the modest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of the available online-specific literature.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