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 MEng</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June 08,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Education Sciences (MDPI)</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“Big Five Personality Traits and Academic Achievement in Online Learning Environments: A Systematic Review and Meta-Analysis” for consideration as a Review article in Education Sciences. The manuscript reports a pre-registered, PRISMA 2020-compliant quantitative synthesis at the intersection of educational psychology, personality science, and online/distance learning research.</w:t>
      </w:r>
    </w:p>
    <w:p>
      <w:pPr>
        <w:spacing w:after="120" w:line="276" w:lineRule="auto"/>
        <w:jc w:val="left"/>
      </w:pPr>
      <w:r>
        <w:rPr>
          <w:rFonts w:ascii="Calibri" w:hAnsi="Calibri"/>
          <w:b/>
          <w:sz w:val="22"/>
        </w:rPr>
        <w:t>Background and gap.</w:t>
      </w:r>
      <w:r>
        <w:rPr>
          <w:rFonts w:ascii="Calibri" w:hAnsi="Calibri"/>
          <w:sz w:val="22"/>
        </w:rPr>
        <w:t xml:space="preserve"> Conscientiousness has been established as the strongest Big Five predictor of academic achievement across eight prior meta-analyses (Poropat, 2009 through Chen et al., 2025), but those syntheses pooled face-to-face, blended, and online samples without testing learning modality as a moderator. With online and blended instruction now constituting a substantial share of post-secondary education globally, an online-specific quantitative synthesis is needed to determine whether established face-to-face benchmarks generalize to technology-mediated contexts.</w:t>
      </w:r>
    </w:p>
    <w:p>
      <w:pPr>
        <w:spacing w:after="120" w:line="276" w:lineRule="auto"/>
        <w:jc w:val="left"/>
      </w:pPr>
      <w:r>
        <w:rPr>
          <w:rFonts w:ascii="Calibri" w:hAnsi="Calibri"/>
          <w:b/>
          <w:sz w:val="22"/>
        </w:rPr>
        <w:t>Methods and findings.</w:t>
      </w:r>
      <w:r>
        <w:rPr>
          <w:rFonts w:ascii="Calibri" w:hAnsi="Calibri"/>
          <w:sz w:val="22"/>
        </w:rPr>
        <w:t xml:space="preserve"> The review followed a pre-registered protocol (OSF Registries E5W47, registered 23 April 2026) and PRISMA 2020 reporting standards. From 31 primary studies catalogued at full-text assessment, 25 were retained for qualitative synthesis and 10 contributed direct or β-converted Pearson correlations to the primary quantitative pool (pooled N = 3,384). Random-effects meta-analysis with REML estimation and Hartung-Knapp-Sidik-Jonkman confidence-interval adjustment yielded Conscientiousness r = .167, 95% CI [.089, .243]; Agreeableness r = .112; Openness r = .086; Neuroticism r = .018; Extraversion r = .002. Two pre-registered moderator effects were highly significant: Extraversion × Region (Asian r = −.131 vs. non-Asian r = .050; Q_between = 46.43, p &lt; .001) and Extraversion × Outcome Type (objective r = −.038 vs. self-rated r = .117; Q_between = 17.30, p &lt; .001), indicating that the Extraversion–achievement association shifts negatively in Asian samples and in objective achievement outcomes. GRADE confidence ratings ranged from Moderate (Conscientiousness, Extraversion) to Low (Openness, Agreeableness, Neuroticism). Seven pre-specified sensitivity analyses confirm robustness.</w:t>
      </w:r>
    </w:p>
    <w:p>
      <w:pPr>
        <w:spacing w:after="120" w:line="276" w:lineRule="auto"/>
        <w:jc w:val="left"/>
      </w:pPr>
      <w:r>
        <w:rPr>
          <w:rFonts w:ascii="Calibri" w:hAnsi="Calibri"/>
          <w:b/>
          <w:sz w:val="22"/>
        </w:rPr>
        <w:t>Fit with Education Sciences.</w:t>
      </w:r>
      <w:r>
        <w:rPr>
          <w:rFonts w:ascii="Calibri" w:hAnsi="Calibri"/>
          <w:sz w:val="22"/>
        </w:rPr>
        <w:t xml:space="preserve"> Education Sciences has an established record of publishing rigorous systematic reviews and meta-analyses on technology-supported learning, personality and individual differences in education, and post-pandemic educational change. The manuscript's combination of pre-registered methodology, transparent open-science deposits, and online-specific focus aligns directly with the journal's mission of methodologically robust, openly reported education research. Findings are directly relevant to readers designing online and blended curricula and to researchers refining personality-context interaction theory.</w:t>
      </w:r>
    </w:p>
    <w:p>
      <w:pPr>
        <w:spacing w:after="120" w:line="276" w:lineRule="auto"/>
        <w:jc w:val="left"/>
      </w:pPr>
      <w:r>
        <w:rPr>
          <w:rFonts w:ascii="Calibri" w:hAnsi="Calibri"/>
          <w:b/>
          <w:sz w:val="22"/>
        </w:rPr>
        <w:t>Open science.</w:t>
      </w:r>
      <w:r>
        <w:rPr>
          <w:rFonts w:ascii="Calibri" w:hAnsi="Calibri"/>
          <w:sz w:val="22"/>
        </w:rPr>
        <w:t xml:space="preserve"> Pre-registration: https://doi.org/10.17605/OSF.IO/E5W47 (OSF Registries, registered 23 April 2026, prior to formal data extraction). Preprint: https://doi.org/10.21203/rs.3.rs-9513298 (Research Square v1, posted 27 April 2026). Data, analysis code, search logs, screening decisions, risk-of-bias ratings, and supplementary materials are publicly available on the OSF project (https://doi.org/10.17605/OSF.IO/79M5J), comprising seven separately DOI-tagged components covering protocol, search, screening, extraction, risk of bias, analysis, and the article-level DOI index. A version-controlled mirror is maintained at https://github.com/etoki/paper.</w:t>
      </w:r>
    </w:p>
    <w:p>
      <w:pPr>
        <w:spacing w:after="120" w:line="276" w:lineRule="auto"/>
        <w:jc w:val="left"/>
      </w:pPr>
      <w:r>
        <w:rPr>
          <w:rFonts w:ascii="Calibri" w:hAnsi="Calibri"/>
          <w:b/>
          <w:sz w:val="22"/>
        </w:rPr>
        <w:t>Conflict of interest.</w:t>
      </w:r>
      <w:r>
        <w:rPr>
          <w:rFonts w:ascii="Calibri" w:hAnsi="Calibri"/>
          <w:sz w:val="22"/>
        </w:rPr>
        <w:t xml:space="preserve"> I declare no financial conflicts of interest. One of my own prior, previously published primary studies — Tokiwa, E. (2025), "Who excels in online learning in Japan?", Frontiers in Psychology, 16, 1420996 (CC BY, open access; https://doi.org/10.3389/fpsyg.2025.1420996) — is potentially eligible for inclusion; this is addressed transparently through a pre-specified sensitivity analysis excluding the author's own study, which leaves the primary conclusions unchanged (|Δr| &lt; .001 for every trait, because that study did not contribute extractable zero-order correlations to the primary quantitative pool).</w:t>
      </w:r>
    </w:p>
    <w:p>
      <w:pPr>
        <w:spacing w:after="120" w:line="276" w:lineRule="auto"/>
        <w:jc w:val="left"/>
      </w:pPr>
      <w:r>
        <w:rPr>
          <w:rFonts w:ascii="Calibri" w:hAnsi="Calibri"/>
          <w:sz w:val="22"/>
        </w:rPr>
        <w:t>The manuscript has not been published elsewhere and is not under consideration by another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All MDPI submission requirements are addressed: ORCID provided in the header, structured abstract conformant to journal guidelines, supplementary materials linked from the OSF deposit, and ICMJE authorship criteria met (sole author).</w:t>
      </w:r>
    </w:p>
    <w:p>
      <w:pPr>
        <w:spacing w:after="120" w:line="276" w:lineRule="auto"/>
        <w:jc w:val="left"/>
      </w:pPr>
      <w:r>
        <w:rPr>
          <w:rFonts w:ascii="Calibri" w:hAnsi="Calibri"/>
          <w:sz w:val="22"/>
        </w:rPr>
        <w:t>Thank you for considering this manuscript. I look forward to your decision.</w:t>
      </w:r>
    </w:p>
    <w:p>
      <w:pPr>
        <w:spacing w:after="120" w:line="276" w:lineRule="auto"/>
        <w:jc w:val="left"/>
      </w:pPr>
      <w:r>
        <w:rPr>
          <w:rFonts w:ascii="Calibri" w:hAnsi="Calibri"/>
          <w:sz w:val="22"/>
        </w:rPr>
        <w:t>Sincerely,</w:t>
      </w: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