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Tokiwa, MEng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Tokyo,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June 08, 2026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 the Editors,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Frontiers in Education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Dear Editors,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Thank you for your message inviting resubmission. Following my earlier submission of this manuscript to Frontiers in Education, I conducted an extensive self-audit and substantive refactor of the analysis pipeline and reporting. I contacted the editorial office to flag that corrections were warranted, and per your reply I am now resubmitting the corrected version (v2) for consideration.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Summary of changes since the initial submission.</w:t>
      </w:r>
      <w:r>
        <w:rPr>
          <w:rFonts w:ascii="Calibri" w:hAnsi="Calibri"/>
          <w:sz w:val="22"/>
        </w:rPr>
        <w:t xml:space="preserve"> (1) The full quantitative pipeline was re-run after re-curating the primary study set, yielding a transparent and now-canonical record: 31 primary studies catalogued at full-text assessment, 25 retained for qualitative synthesis, and 10 contributing direct or β-converted Pearson correlations to the primary quantitative pool (pooled N = 3,384). All Tables 2–5 and the body-text effect sizes are regenerated from the canonical pipeline (REML τ² with Hartung-Knapp-Sidik-Jonkman CIs). (2) An adapted GRADE assessment was added (Table 5), yielding Moderate confidence for Conscientiousness and Extraversion, and Low for Openness, Agreeableness, and Neuroticism. (3) Seven pre-specified sensitivity analyses (COI exclusion, Peterson-Brown β-converted exclusion, RoB &lt; 5 exclusion, leave-one-out, alternative τ² estimators, HEXACO crosswalk variants, small-sample exclusion) and a publication-bias suite (Egger, trim-and-fill, p-curve) were completed and reported. (4) The full PRISMA 2020 checklist and a Declaration of Interest form are attached as supplementary files. (5) Reference list and citation entries were audited end-to-end (authors, years, volumes, pages, and DOIs cross-validated against Crossref); fabricated or imprecise bibliographic fields identified during the audit were corrected. (6) An automated hallucination-check protocol (T1–T9) was developed to verify every numerical claim in the manuscript against the canonical analysis outputs; all checks pass on the resubmitted version.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Why the work belongs in Frontiers in Education.</w:t>
      </w:r>
      <w:r>
        <w:rPr>
          <w:rFonts w:ascii="Calibri" w:hAnsi="Calibri"/>
          <w:sz w:val="22"/>
        </w:rPr>
        <w:t xml:space="preserve"> Frontiers in Education has an established record of publishing rigorously preregistered, openly reported reviews on technology-supported learning and individual differences in education. The manuscript reports the first quantitative meta-analytic synthesis of Big Five personality traits and academic achievement dedicated specifically to online learning environments, with two pre-registered moderator findings (Extraversion × Region and Extraversion × Outcome Type) that are directly relevant to readers designing online and blended curricula across diverse cultural and assessment contexts.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Headline findings.</w:t>
      </w:r>
      <w:r>
        <w:rPr>
          <w:rFonts w:ascii="Calibri" w:hAnsi="Calibri"/>
          <w:sz w:val="22"/>
        </w:rPr>
        <w:t xml:space="preserve"> Random-effects meta-analysis with REML estimation and Hartung-Knapp-Sidik-Jonkman CI adjustment yielded Conscientiousness r = .167, 95% CI [.089, .243]; Agreeableness r = .112; Openness r = .086; Neuroticism r = .018; Extraversion r = .002. Two pre-registered moderator effects were highly significant: Extraversion × Region (Asian r = −.131 vs. non-Asian r = .050; Q_between = 46.43, p &lt; .001) and Extraversion × Outcome Type (objective r = −.038 vs. self-rated r = .117; Q_between = 17.30, p &lt; .001). Conscientiousness remains the strongest Big Five predictor in online environments but at attenuated magnitude relative to face-to-face benchmarks (ρ ≈ .22–.28 in eight prior meta-analyses).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Open science.</w:t>
      </w:r>
      <w:r>
        <w:rPr>
          <w:rFonts w:ascii="Calibri" w:hAnsi="Calibri"/>
          <w:sz w:val="22"/>
        </w:rPr>
        <w:t xml:space="preserve"> Pre-registration: https://doi.org/10.17605/OSF.IO/E5W47 (OSF Registries, registered 23 April 2026, prior to formal data extraction). Preprint: https://doi.org/10.21203/rs.3.rs-9513298 (Research Square v1, posted 27 April 2026). Data, analysis code, search logs, screening decisions, risk-of-bias ratings, and supplementary materials are publicly available on the OSF project (https://doi.org/10.17605/OSF.IO/79M5J), comprising seven separately DOI-tagged components covering protocol, search, screening, extraction, risk of bias, analysis, and the article-level DOI index. A version-controlled mirror is maintained at https://github.com/etoki/paper.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Conflict of interest.</w:t>
      </w:r>
      <w:r>
        <w:rPr>
          <w:rFonts w:ascii="Calibri" w:hAnsi="Calibri"/>
          <w:sz w:val="22"/>
        </w:rPr>
        <w:t xml:space="preserve"> I declare no financial conflicts of interest. One of my own prior, previously published primary studies — Tokiwa, E. (2025), "Who excels in online learning in Japan?", Frontiers in Psychology, 16, 1420996 (CC BY, open access; https://doi.org/10.3389/fpsyg.2025.1420996) — is potentially eligible for inclusion; this is addressed transparently through a pre-specified sensitivity analysis excluding the author's own study, which leaves the primary conclusions unchanged (|Δr| &lt; .001 for every trait, because that study did not contribute extractable zero-order correlations to the primary quantitative pool).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The manuscript has not been published elsewhere and is not under consideration by another journal. The Research Square preprint (v1) is explicitly disclosed above; any substantive revisions during peer review will be reflected in a versioned preprint update under the same DOI stem. I am the sole author and accept full accountability for all aspects of the work.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Thank you for accommodating this author-initiated correction and resubmission. I am happy to provide any further information the editorial team may require.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Sincerely,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Tokyo,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