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76" w:lineRule="auto"/>
        <w:jc w:val="left"/>
      </w:pPr>
      <w:r>
        <w:rPr>
          <w:rFonts w:ascii="Calibri" w:hAnsi="Calibri"/>
          <w:sz w:val="22"/>
        </w:rPr>
        <w:t>Eisuke Tokiwa, MEng</w:t>
      </w:r>
    </w:p>
    <w:p>
      <w:pPr>
        <w:spacing w:after="0" w:line="276" w:lineRule="auto"/>
        <w:jc w:val="left"/>
      </w:pPr>
      <w:r>
        <w:rPr>
          <w:rFonts w:ascii="Calibri" w:hAnsi="Calibri"/>
          <w:sz w:val="22"/>
        </w:rPr>
        <w:t>Founder, SUNBLAZE Co., Ltd.</w:t>
      </w:r>
    </w:p>
    <w:p>
      <w:pPr>
        <w:spacing w:after="0" w:line="276" w:lineRule="auto"/>
        <w:jc w:val="left"/>
      </w:pPr>
      <w:r>
        <w:rPr>
          <w:rFonts w:ascii="Calibri" w:hAnsi="Calibri"/>
          <w:sz w:val="22"/>
        </w:rPr>
        <w:t>Tokyo, Japan</w:t>
      </w:r>
    </w:p>
    <w:p>
      <w:pPr>
        <w:spacing w:after="0" w:line="276" w:lineRule="auto"/>
        <w:jc w:val="left"/>
      </w:pPr>
      <w:r>
        <w:rPr>
          <w:rFonts w:ascii="Calibri" w:hAnsi="Calibri"/>
          <w:sz w:val="22"/>
        </w:rPr>
        <w:t>ORCID: 0009-0009-7124-6669</w:t>
      </w:r>
    </w:p>
    <w:p>
      <w:pPr>
        <w:spacing w:after="0" w:line="276" w:lineRule="auto"/>
        <w:jc w:val="left"/>
      </w:pPr>
      <w:r>
        <w:rPr>
          <w:rFonts w:ascii="Calibri" w:hAnsi="Calibri"/>
          <w:sz w:val="22"/>
        </w:rPr>
        <w:t>Email: eisuke.tokiwa@sunblaze.jp</w:t>
      </w:r>
    </w:p>
    <w:p>
      <w:pPr>
        <w:spacing w:after="0" w:line="276" w:lineRule="auto"/>
        <w:jc w:val="left"/>
      </w:pPr>
    </w:p>
    <w:p>
      <w:pPr>
        <w:spacing w:after="120" w:line="276" w:lineRule="auto"/>
        <w:jc w:val="left"/>
      </w:pPr>
      <w:r>
        <w:rPr>
          <w:rFonts w:ascii="Calibri" w:hAnsi="Calibri"/>
          <w:sz w:val="22"/>
        </w:rPr>
        <w:t>June 08, 2026</w:t>
      </w:r>
    </w:p>
    <w:p>
      <w:pPr>
        <w:spacing w:after="0" w:line="276" w:lineRule="auto"/>
        <w:jc w:val="left"/>
      </w:pPr>
    </w:p>
    <w:p>
      <w:pPr>
        <w:spacing w:after="0" w:line="276" w:lineRule="auto"/>
        <w:jc w:val="left"/>
      </w:pPr>
      <w:r>
        <w:rPr>
          <w:rFonts w:ascii="Calibri" w:hAnsi="Calibri"/>
          <w:sz w:val="22"/>
        </w:rPr>
        <w:t>To the Editors,</w:t>
      </w:r>
    </w:p>
    <w:p>
      <w:pPr>
        <w:spacing w:after="0" w:line="276" w:lineRule="auto"/>
        <w:jc w:val="left"/>
      </w:pPr>
      <w:r>
        <w:rPr>
          <w:rFonts w:ascii="Calibri" w:hAnsi="Calibri"/>
          <w:sz w:val="22"/>
        </w:rPr>
        <w:t>Heliyon</w:t>
      </w:r>
    </w:p>
    <w:p>
      <w:pPr>
        <w:spacing w:after="0" w:line="276" w:lineRule="auto"/>
        <w:jc w:val="left"/>
      </w:pPr>
    </w:p>
    <w:p>
      <w:pPr>
        <w:spacing w:after="120" w:line="276" w:lineRule="auto"/>
        <w:jc w:val="left"/>
      </w:pPr>
      <w:r>
        <w:rPr>
          <w:rFonts w:ascii="Calibri" w:hAnsi="Calibri"/>
          <w:sz w:val="22"/>
        </w:rPr>
        <w:t>Dear Editors,</w:t>
      </w:r>
    </w:p>
    <w:p>
      <w:pPr>
        <w:spacing w:after="120" w:line="276" w:lineRule="auto"/>
        <w:jc w:val="left"/>
      </w:pPr>
      <w:r>
        <w:rPr>
          <w:rFonts w:ascii="Calibri" w:hAnsi="Calibri"/>
          <w:sz w:val="22"/>
        </w:rPr>
        <w:t>I am pleased to submit “Big Five Personality Traits and Academic Achievement in Online Learning Environments: A Systematic Review and Meta-Analysis” for consideration in Heliyon, with the suggested section “Education” or “Psychology”.</w:t>
      </w:r>
    </w:p>
    <w:p>
      <w:pPr>
        <w:spacing w:after="120" w:line="276" w:lineRule="auto"/>
        <w:jc w:val="left"/>
      </w:pPr>
      <w:r>
        <w:rPr>
          <w:rFonts w:ascii="Calibri" w:hAnsi="Calibri"/>
          <w:b/>
          <w:sz w:val="22"/>
        </w:rPr>
        <w:t>Significance and novelty.</w:t>
      </w:r>
      <w:r>
        <w:rPr>
          <w:rFonts w:ascii="Calibri" w:hAnsi="Calibri"/>
          <w:sz w:val="22"/>
        </w:rPr>
        <w:t xml:space="preserve"> Eight prior meta-analyses have established Conscientiousness as the strongest Big Five predictor of academic achievement (ρ ≈ .19–.28), but no prior synthesis has tested learning modality as a substantive moderator. With online and blended instruction now constituting a substantial share of post-secondary education, the generalizability of face-to-face benchmarks to technology-mediated environments has been an empirically open question. This pre-registered, PRISMA 2020-compliant review is, to my knowledge, the first quantitative meta-analytic synthesis dedicated to online learning environments.</w:t>
      </w:r>
    </w:p>
    <w:p>
      <w:pPr>
        <w:spacing w:after="120" w:line="276" w:lineRule="auto"/>
        <w:jc w:val="left"/>
      </w:pPr>
      <w:r>
        <w:rPr>
          <w:rFonts w:ascii="Calibri" w:hAnsi="Calibri"/>
          <w:b/>
          <w:sz w:val="22"/>
        </w:rPr>
        <w:t>Summary of methods and findings.</w:t>
      </w:r>
      <w:r>
        <w:rPr>
          <w:rFonts w:ascii="Calibri" w:hAnsi="Calibri"/>
          <w:sz w:val="22"/>
        </w:rPr>
        <w:t xml:space="preserve"> The review followed a pre-registered protocol (OSF Registries E5W47, registered 23 April 2026, prior to formal data extraction). From 31 primary studies catalogued at full-text assessment, 25 were retained for qualitative synthesis and 10 contributed direct or β-converted Pearson correlations to the primary quantitative pool (total pooled N = 3,384). Pooled estimates from random-effects REML meta-analysis with Hartung-Knapp-Sidik-Jonkman adjustment: Conscientiousness r = .167, 95% CI [.089, .243]; Agreeableness r = .112; Openness r = .086; Neuroticism r = .018; Extraversion r = .002. Two pre-registered moderator effects were highly significant: Extraversion × Region (Asian r = −.131 vs. non-Asian r = .050; Q_between = 46.43, p &lt; .001) and Extraversion × Outcome Type (objective r = −.038 vs. self-rated r = .117; Q_between = 17.30, p &lt; .001). GRADE confidence ratings range from Moderate (Conscientiousness, Extraversion) to Low (Openness, Agreeableness, Neuroticism). Seven pre-specified sensitivity analyses confirm robustness.</w:t>
      </w:r>
    </w:p>
    <w:p>
      <w:pPr>
        <w:spacing w:after="120" w:line="276" w:lineRule="auto"/>
        <w:jc w:val="left"/>
      </w:pPr>
      <w:r>
        <w:rPr>
          <w:rFonts w:ascii="Calibri" w:hAnsi="Calibri"/>
          <w:b/>
          <w:sz w:val="22"/>
        </w:rPr>
        <w:t>Fit with Heliyon.</w:t>
      </w:r>
      <w:r>
        <w:rPr>
          <w:rFonts w:ascii="Calibri" w:hAnsi="Calibri"/>
          <w:sz w:val="22"/>
        </w:rPr>
        <w:t xml:space="preserve"> Heliyon's broad multidisciplinary scope is well suited to a manuscript that sits at the intersection of educational psychology, personality science, and online/distance learning research. Several primary studies in the synthesis are themselves Elsevier titles, including The Internet and Higher Education (Abe, 2020), Personality and Individual Differences (Quigley et al., 2022), and Computers in Human Behavior (Cohen &amp; Baruth, 2017). Heliyon's commitment to publishing methodologically rigorous research regardless of perceived novelty premium is directly aligned with this manuscript's emphasis on transparent reporting and open data.</w:t>
      </w:r>
    </w:p>
    <w:p>
      <w:pPr>
        <w:spacing w:after="120" w:line="276" w:lineRule="auto"/>
        <w:jc w:val="left"/>
      </w:pPr>
      <w:r>
        <w:rPr>
          <w:rFonts w:ascii="Calibri" w:hAnsi="Calibri"/>
          <w:b/>
          <w:sz w:val="22"/>
        </w:rPr>
        <w:t>Open science.</w:t>
      </w:r>
      <w:r>
        <w:rPr>
          <w:rFonts w:ascii="Calibri" w:hAnsi="Calibri"/>
          <w:sz w:val="22"/>
        </w:rPr>
        <w:t xml:space="preserve"> Pre-registration: https://doi.org/10.17605/OSF.IO/E5W47 (OSF Registries, registered 23 April 2026, prior to formal data extraction). Preprint: https://doi.org/10.21203/rs.3.rs-9513298 (Research Square v1, posted 27 April 2026). Data, analysis code, search logs, screening decisions, risk-of-bias ratings, and supplementary materials are publicly available on the OSF project (https://doi.org/10.17605/OSF.IO/79M5J), comprising seven separately DOI-tagged components covering protocol, search, screening, extraction, risk of bias, analysis, and the article-level DOI index. A version-controlled mirror is maintained at https://github.com/etoki/paper.</w:t>
      </w:r>
    </w:p>
    <w:p>
      <w:pPr>
        <w:spacing w:after="120" w:line="276" w:lineRule="auto"/>
        <w:jc w:val="left"/>
      </w:pPr>
      <w:r>
        <w:rPr>
          <w:rFonts w:ascii="Calibri" w:hAnsi="Calibri"/>
          <w:b/>
          <w:sz w:val="22"/>
        </w:rPr>
        <w:t>Conflict of interest.</w:t>
      </w:r>
      <w:r>
        <w:rPr>
          <w:rFonts w:ascii="Calibri" w:hAnsi="Calibri"/>
          <w:sz w:val="22"/>
        </w:rPr>
        <w:t xml:space="preserve"> I declare no financial conflicts of interest. One of my own prior, previously published primary studies — Tokiwa, E. (2025), "Who excels in online learning in Japan?", Frontiers in Psychology, 16, 1420996 (CC BY, open access; https://doi.org/10.3389/fpsyg.2025.1420996) — is potentially eligible for inclusion; this is addressed transparently through a pre-specified sensitivity analysis excluding the author's own study, which leaves the primary conclusions unchanged (|Δr| &lt; .001 for every trait, because that study did not contribute extractable zero-order correlations to the primary quantitative pool).</w:t>
      </w:r>
    </w:p>
    <w:p>
      <w:pPr>
        <w:spacing w:after="120" w:line="276" w:lineRule="auto"/>
        <w:jc w:val="left"/>
      </w:pPr>
      <w:r>
        <w:rPr>
          <w:rFonts w:ascii="Calibri" w:hAnsi="Calibri"/>
          <w:sz w:val="22"/>
        </w:rPr>
        <w:t>The manuscript has not been published elsewhere and is not under consideration by another journal. The Research Square preprint (v1) is explicitly disclosed above; any substantive revisions during peer review will be reflected in a versioned preprint update under the same DOI stem. I am the sole author and accept full accountability for all aspects of the work.</w:t>
      </w:r>
    </w:p>
    <w:p>
      <w:pPr>
        <w:spacing w:after="120" w:line="276" w:lineRule="auto"/>
        <w:jc w:val="left"/>
      </w:pPr>
      <w:r>
        <w:rPr>
          <w:rFonts w:ascii="Calibri" w:hAnsi="Calibri"/>
          <w:sz w:val="22"/>
        </w:rPr>
        <w:t>All Elsevier submission requirements are addressed: ORCID, structured abstract, declarations section, data availability statement linked to the OSF deposit, and CRediT statement (sole author).</w:t>
      </w:r>
    </w:p>
    <w:p>
      <w:pPr>
        <w:spacing w:after="120" w:line="276" w:lineRule="auto"/>
        <w:jc w:val="left"/>
      </w:pPr>
      <w:r>
        <w:rPr>
          <w:rFonts w:ascii="Calibri" w:hAnsi="Calibri"/>
          <w:sz w:val="22"/>
        </w:rPr>
        <w:t>Thank you for considering this submission. I look forward to your decision.</w:t>
      </w:r>
    </w:p>
    <w:p>
      <w:pPr>
        <w:spacing w:after="120" w:line="276" w:lineRule="auto"/>
        <w:jc w:val="left"/>
      </w:pPr>
      <w:r>
        <w:rPr>
          <w:rFonts w:ascii="Calibri" w:hAnsi="Calibri"/>
          <w:sz w:val="22"/>
        </w:rPr>
        <w:t>Sincerely,</w:t>
      </w:r>
    </w:p>
    <w:p>
      <w:pPr>
        <w:spacing w:after="0" w:line="276" w:lineRule="auto"/>
        <w:jc w:val="left"/>
      </w:pPr>
      <w:r>
        <w:rPr>
          <w:rFonts w:ascii="Calibri" w:hAnsi="Calibri"/>
          <w:sz w:val="22"/>
        </w:rPr>
        <w:t>Eisuke Tokiwa</w:t>
      </w:r>
    </w:p>
    <w:p>
      <w:pPr>
        <w:spacing w:after="0" w:line="276" w:lineRule="auto"/>
        <w:jc w:val="left"/>
      </w:pPr>
      <w:r>
        <w:rPr>
          <w:rFonts w:ascii="Calibri" w:hAnsi="Calibri"/>
          <w:sz w:val="22"/>
        </w:rPr>
        <w:t>Founder, SUNBLAZE Co., Ltd.</w:t>
      </w:r>
    </w:p>
    <w:p>
      <w:pPr>
        <w:spacing w:after="0" w:line="276" w:lineRule="auto"/>
        <w:jc w:val="left"/>
      </w:pPr>
      <w:r>
        <w:rPr>
          <w:rFonts w:ascii="Calibri" w:hAnsi="Calibri"/>
          <w:sz w:val="22"/>
        </w:rPr>
        <w:t>Tokyo, Japan</w:t>
      </w:r>
    </w:p>
    <w:p>
      <w:pPr>
        <w:spacing w:after="0" w:line="276" w:lineRule="auto"/>
        <w:jc w:val="left"/>
      </w:pPr>
      <w:r>
        <w:rPr>
          <w:rFonts w:ascii="Calibri" w:hAnsi="Calibri"/>
          <w:sz w:val="22"/>
        </w:rPr>
        <w:t>ORCID: 0009-0009-7124-6669</w:t>
      </w:r>
    </w:p>
    <w:p>
      <w:pPr>
        <w:spacing w:after="0" w:line="276" w:lineRule="auto"/>
        <w:jc w:val="left"/>
      </w:pPr>
      <w:r>
        <w:rPr>
          <w:rFonts w:ascii="Calibri" w:hAnsi="Calibri"/>
          <w:sz w:val="22"/>
        </w:rPr>
        <w:t>Email: eisuke.tokiwa@sunblaze.jp</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