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pPr>
      <w:r>
        <w:rPr>
          <w:b w:val="0"/>
          <w:sz w:val="20"/>
        </w:rPr>
        <w:t>Eisuke Tokiwa, MEng</w:t>
      </w:r>
    </w:p>
    <w:p>
      <w:pPr>
        <w:spacing w:before="0" w:after="0" w:line="312" w:lineRule="auto"/>
      </w:pPr>
      <w:r>
        <w:rPr>
          <w:b w:val="0"/>
          <w:sz w:val="20"/>
        </w:rPr>
        <w:t>Founder, SUNBLAZE Co., Ltd.</w:t>
      </w:r>
    </w:p>
    <w:p>
      <w:pPr>
        <w:spacing w:before="0" w:after="0" w:line="312" w:lineRule="auto"/>
      </w:pPr>
      <w:r>
        <w:rPr>
          <w:b w:val="0"/>
          <w:sz w:val="20"/>
        </w:rPr>
        <w:t>Tokyo, Japan</w:t>
      </w:r>
    </w:p>
    <w:p>
      <w:pPr>
        <w:spacing w:before="0" w:after="0" w:line="312" w:lineRule="auto"/>
      </w:pPr>
      <w:r>
        <w:rPr>
          <w:b w:val="0"/>
          <w:sz w:val="20"/>
        </w:rPr>
        <w:t>ORCID: 0009-0009-7124-6669</w:t>
      </w:r>
    </w:p>
    <w:p>
      <w:pPr>
        <w:spacing w:before="0" w:after="0" w:line="312" w:lineRule="auto"/>
      </w:pPr>
      <w:r>
        <w:rPr>
          <w:b w:val="0"/>
          <w:sz w:val="20"/>
        </w:rPr>
        <w:t>Email: eisuke.tokiwa@sunblaze.jp</w:t>
      </w:r>
    </w:p>
    <w:p>
      <w:pPr>
        <w:spacing w:before="0" w:after="120" w:line="312" w:lineRule="auto"/>
      </w:pPr>
      <w:r>
        <w:rPr>
          <w:b w:val="0"/>
          <w:sz w:val="20"/>
        </w:rPr>
      </w:r>
    </w:p>
    <w:p>
      <w:pPr>
        <w:spacing w:before="0" w:after="120" w:line="312" w:lineRule="auto"/>
      </w:pPr>
      <w:r>
        <w:rPr>
          <w:b w:val="0"/>
          <w:sz w:val="20"/>
        </w:rPr>
        <w:t>June 08, 2026</w:t>
      </w:r>
    </w:p>
    <w:p>
      <w:pPr>
        <w:spacing w:before="0" w:after="120" w:line="312" w:lineRule="auto"/>
      </w:pPr>
      <w:r>
        <w:rPr>
          <w:b w:val="0"/>
          <w:sz w:val="20"/>
        </w:rPr>
      </w:r>
    </w:p>
    <w:p>
      <w:pPr>
        <w:spacing w:before="0" w:after="0" w:line="312" w:lineRule="auto"/>
      </w:pPr>
      <w:r>
        <w:rPr>
          <w:b w:val="0"/>
          <w:sz w:val="20"/>
        </w:rPr>
        <w:t>To Fatima Nasrin, Assistant Editor</w:t>
      </w:r>
    </w:p>
    <w:p>
      <w:pPr>
        <w:spacing w:before="0" w:after="0" w:line="312" w:lineRule="auto"/>
      </w:pPr>
      <w:r>
        <w:rPr>
          <w:b w:val="0"/>
          <w:sz w:val="20"/>
        </w:rPr>
        <w:t>Humanities and Social Sciences Communications</w:t>
      </w:r>
    </w:p>
    <w:p>
      <w:pPr>
        <w:spacing w:before="0" w:after="0" w:line="312" w:lineRule="auto"/>
      </w:pPr>
      <w:r>
        <w:rPr>
          <w:b w:val="0"/>
          <w:sz w:val="20"/>
        </w:rPr>
        <w:t>Submission ID: 72427190-7674-4b5f-ac51-9518b8c16eaf</w:t>
      </w:r>
    </w:p>
    <w:p>
      <w:pPr>
        <w:spacing w:before="0" w:after="120" w:line="312" w:lineRule="auto"/>
      </w:pPr>
      <w:r>
        <w:rPr>
          <w:b w:val="0"/>
          <w:sz w:val="20"/>
        </w:rPr>
      </w:r>
    </w:p>
    <w:p>
      <w:pPr>
        <w:spacing w:before="0" w:after="120" w:line="312" w:lineRule="auto"/>
      </w:pPr>
      <w:r>
        <w:rPr>
          <w:b w:val="0"/>
          <w:sz w:val="22"/>
        </w:rPr>
        <w:t>Dear Dr Nasrin,</w:t>
      </w:r>
    </w:p>
    <w:p>
      <w:pPr>
        <w:spacing w:before="0" w:after="120" w:line="312" w:lineRule="auto"/>
      </w:pPr>
      <w:r>
        <w:rPr>
          <w:b w:val="0"/>
          <w:sz w:val="22"/>
        </w:rPr>
        <w:t>Thank you for the minor-revision decision on Submission ID 72427190-7674-4b5f-ac51-9518b8c16eaf and for the clear technical-check guidance. I have addressed every item raised, in advance of the 26 May 2026 deadline. This cover letter is the only file in this submission that carries author identifying information; the manuscript, point-by-point response, and all supplementary files have been prepared as fully anonymised double-anonymous-ready versions in accordance with the editor's instruction.</w:t>
      </w:r>
    </w:p>
    <w:p>
      <w:pPr>
        <w:spacing w:before="160" w:after="120" w:line="312" w:lineRule="auto"/>
      </w:pPr>
      <w:r>
        <w:rPr>
          <w:b/>
          <w:sz w:val="24"/>
        </w:rPr>
        <w:t>Files in this submission</w:t>
      </w:r>
    </w:p>
    <w:p>
      <w:pPr>
        <w:spacing w:before="0" w:after="40" w:line="312" w:lineRule="auto"/>
      </w:pPr>
      <w:r>
        <w:rPr>
          <w:b w:val="0"/>
          <w:sz w:val="20"/>
        </w:rPr>
        <w:t>• manuscript_journal_v2_anonymous.docx — anonymised main manuscript with a new Data Availability section.</w:t>
      </w:r>
    </w:p>
    <w:p>
      <w:pPr>
        <w:spacing w:before="0" w:after="40" w:line="312" w:lineRule="auto"/>
      </w:pPr>
      <w:r>
        <w:rPr>
          <w:b w:val="0"/>
          <w:sz w:val="20"/>
        </w:rPr>
        <w:t>• response_hssc_minor_revision_anon.pdf — anonymised point-by-point response addressing every item in this minor-revision request.</w:t>
      </w:r>
    </w:p>
    <w:p>
      <w:pPr>
        <w:spacing w:before="0" w:after="40" w:line="312" w:lineRule="auto"/>
      </w:pPr>
      <w:r>
        <w:rPr>
          <w:b w:val="0"/>
          <w:sz w:val="20"/>
        </w:rPr>
        <w:t>• prisma_2020_checklist_anon.docx — completed PRISMA 2020 27-item checklist (supplementary material).</w:t>
      </w:r>
    </w:p>
    <w:p>
      <w:pPr>
        <w:spacing w:before="0" w:after="40" w:line="312" w:lineRule="auto"/>
      </w:pPr>
      <w:r>
        <w:rPr>
          <w:b w:val="0"/>
          <w:sz w:val="20"/>
        </w:rPr>
        <w:t>• search_strategy_anon.docx — full Boolean search strategy, database list, query-level log, and documented deviation from the pre-registered search plan (supplementary material).</w:t>
      </w:r>
    </w:p>
    <w:p>
      <w:pPr>
        <w:spacing w:before="0" w:after="40" w:line="312" w:lineRule="auto"/>
      </w:pPr>
      <w:r>
        <w:rPr>
          <w:b w:val="0"/>
          <w:sz w:val="20"/>
        </w:rPr>
        <w:t>• declaration_of_interest_anon.docx — anonymised Declaration of Interest (related file).</w:t>
      </w:r>
    </w:p>
    <w:p>
      <w:pPr>
        <w:spacing w:before="0" w:after="200" w:line="312" w:lineRule="auto"/>
      </w:pPr>
      <w:r>
        <w:rPr>
          <w:b w:val="0"/>
          <w:sz w:val="20"/>
        </w:rPr>
        <w:t>• cover_letter_hssc_minor_revision.docx (this file) — non-anonymous cover letter, the only file carrying author identifying information.</w:t>
      </w:r>
    </w:p>
    <w:p>
      <w:pPr>
        <w:spacing w:before="80" w:after="120" w:line="312" w:lineRule="auto"/>
      </w:pPr>
      <w:r>
        <w:rPr>
          <w:b/>
          <w:sz w:val="24"/>
        </w:rPr>
        <w:t>Editable Ethical Statements</w:t>
      </w:r>
    </w:p>
    <w:p>
      <w:pPr>
        <w:spacing w:before="0" w:after="120" w:line="312" w:lineRule="auto"/>
      </w:pPr>
      <w:r>
        <w:rPr>
          <w:b w:val="0"/>
          <w:sz w:val="22"/>
        </w:rPr>
        <w:t>Per the editor's instruction, the ethics statements below are reproduced in this cover letter in editable text format. They match verbatim the Declarations block of the manuscript and the values entered into the submission-portal Declarations form. There is no separate ethics committee confirmation letter because, as stated below, no IRB or ethics committee approval was required for the conduct of this systematic review (no new primary data were collected).</w:t>
      </w:r>
    </w:p>
    <w:p>
      <w:pPr>
        <w:spacing w:before="0" w:after="40" w:line="312" w:lineRule="auto"/>
      </w:pPr>
      <w:r>
        <w:rPr>
          <w:b/>
          <w:sz w:val="22"/>
        </w:rPr>
        <w:t>Ethics Approval</w:t>
      </w:r>
    </w:p>
    <w:p>
      <w:pPr>
        <w:spacing w:before="0" w:after="160" w:line="312" w:lineRule="auto"/>
      </w:pPr>
      <w:r>
        <w:rPr>
          <w:b w:val="0"/>
          <w:sz w:val="22"/>
        </w:rPr>
        <w:t>Not applicable. This study is a systematic review and meta-analysis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 2020 reporting guidelines for systematic reviews. Ethical approval for each of the included primary studies was the responsibility of the original investigators of those studies, as documented in their respective publications.</w:t>
      </w:r>
    </w:p>
    <w:p>
      <w:pPr>
        <w:spacing w:before="0" w:after="40" w:line="312" w:lineRule="auto"/>
      </w:pPr>
      <w:r>
        <w:rPr>
          <w:b/>
          <w:sz w:val="22"/>
        </w:rPr>
        <w:t>Consent to Participate</w:t>
      </w:r>
    </w:p>
    <w:p>
      <w:pPr>
        <w:spacing w:before="0" w:after="160" w:line="312" w:lineRule="auto"/>
      </w:pPr>
      <w:r>
        <w:rPr>
          <w:b w:val="0"/>
          <w:sz w:val="22"/>
        </w:rPr>
        <w:t>Not applicable. This systematic review and meta-analysis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before="0" w:after="40" w:line="312" w:lineRule="auto"/>
      </w:pPr>
      <w:r>
        <w:rPr>
          <w:b/>
          <w:sz w:val="22"/>
        </w:rPr>
        <w:t>Consent for Publication</w:t>
      </w:r>
    </w:p>
    <w:p>
      <w:pPr>
        <w:spacing w:before="0" w:after="160" w:line="312" w:lineRule="auto"/>
      </w:pPr>
      <w:r>
        <w:rPr>
          <w:b w:val="0"/>
          <w:sz w:val="22"/>
        </w:rPr>
        <w:t>Not applicable. This manuscript does not contain any individual person's data in any form (including individual details, images, or videos).</w:t>
      </w:r>
    </w:p>
    <w:p>
      <w:pPr>
        <w:spacing w:before="0" w:after="40" w:line="312" w:lineRule="auto"/>
      </w:pPr>
      <w:r>
        <w:rPr>
          <w:b/>
          <w:sz w:val="22"/>
        </w:rPr>
        <w:t>Human Ethics and Consent to Participate Declarations</w:t>
      </w:r>
    </w:p>
    <w:p>
      <w:pPr>
        <w:spacing w:before="0" w:after="160" w:line="312" w:lineRule="auto"/>
      </w:pPr>
      <w:r>
        <w:rPr>
          <w:b w:val="0"/>
          <w:sz w:val="22"/>
        </w:rPr>
        <w:t>Not applicable.</w:t>
      </w:r>
    </w:p>
    <w:p>
      <w:pPr>
        <w:spacing w:before="160" w:after="120" w:line="312" w:lineRule="auto"/>
      </w:pPr>
      <w:r>
        <w:rPr>
          <w:b/>
          <w:sz w:val="24"/>
        </w:rPr>
        <w:t>Data Availability Statement</w:t>
      </w:r>
    </w:p>
    <w:p>
      <w:pPr>
        <w:spacing w:before="0" w:after="120" w:line="312" w:lineRule="auto"/>
      </w:pPr>
      <w:r>
        <w:rPr>
          <w:b w:val="0"/>
          <w:sz w:val="22"/>
        </w:rPr>
        <w:t>Per the editor's instruction, the Data Availability Statement below is reproduced here in editable text format. It matches verbatim the Data Availability section of the manuscript (in the Declarations block) and the value entered into the submission-portal Declarations form.</w:t>
      </w:r>
    </w:p>
    <w:p>
      <w:pPr>
        <w:spacing w:before="0" w:after="120" w:line="312" w:lineRule="auto"/>
      </w:pPr>
      <w:r>
        <w:rPr>
          <w:b w:val="0"/>
          <w:sz w:val="22"/>
        </w:rPr>
        <w:t>All materials underpinning this systematic review and meta-analysis have been made available to the editorial office and referees as anonymised supplementary files with this submission. Specifically: (a) the completed PRISMA 2020 27-item checklist with section-level locations (prisma_2020_checklist_anon.docx); (b) the full Boolean search strategy, database and source list, query-level hit counts, and the documented deviation from the pre-registered search plan (search_strategy_anon.docx); (c) the PRISMA 2020 flow diagram (reproduced as Figure 1 of the main manuscript); (d) the eligibility criteria, screening decisions, and full-text exclusion reasons (reported in the Methods and Results sections); (e) the data-extraction table (reproduced as Table 1) listing every included study's country, modality, sample size, personality instrument, outcome operationalisation, era, region, JBI risk-of-bias score, and inclusion status; (f) the synthesis tables (Tables 2-5: pooled effects, moderator analyses, sensitivity analyses, and adapted GRADE ratings); and (g) the anonymised Declaration of Interest (declaration_of_interest_anon.docx). Beyond the materials uploaded here, the full pre-registration record, the seven-component open-science project (protocol, search log, screening ledger, data-extraction CSV, JBI risk-of-bias spreadsheet, analysis code and outputs, and article-level DOI index), and the version-controlled code repository hosting the full Python analysis pipeline have all been permanently deposited under stable DOIs and are publicly accessible. Those DOIs are withheld at this stage solely because their URLs identify the author and will be supplied to the editorial office post-acceptance for inclusion in the final published version. Nothing has been redacted from these deposits; the only restriction is the temporary withholding of identifying URLs for double-anonymous review.</w:t>
      </w:r>
    </w:p>
    <w:p>
      <w:pPr>
        <w:spacing w:before="160" w:after="120" w:line="312" w:lineRule="auto"/>
      </w:pPr>
      <w:r>
        <w:rPr>
          <w:b w:val="0"/>
          <w:sz w:val="22"/>
        </w:rPr>
        <w:t>If any further technical-check items remain after this submission, I am happy to address them within the same week. Thank you for your patience.</w:t>
      </w:r>
    </w:p>
    <w:p>
      <w:pPr>
        <w:spacing w:before="120" w:after="120" w:line="312" w:lineRule="auto"/>
      </w:pPr>
      <w:r>
        <w:rPr>
          <w:b w:val="0"/>
          <w:sz w:val="22"/>
        </w:rPr>
        <w:t>Sincerely,</w:t>
      </w:r>
    </w:p>
    <w:p>
      <w:pPr>
        <w:spacing w:before="0" w:after="120" w:line="312" w:lineRule="auto"/>
      </w:pPr>
      <w:r>
        <w:rPr>
          <w:b w:val="0"/>
          <w:sz w:val="22"/>
        </w:rPr>
      </w:r>
    </w:p>
    <w:p>
      <w:pPr>
        <w:spacing w:before="0" w:after="0" w:line="312" w:lineRule="auto"/>
      </w:pPr>
      <w:r>
        <w:rPr>
          <w:b w:val="0"/>
          <w:sz w:val="20"/>
        </w:rPr>
        <w:t>Eisuke Tokiwa</w:t>
      </w:r>
    </w:p>
    <w:p>
      <w:pPr>
        <w:spacing w:before="0" w:after="0" w:line="312" w:lineRule="auto"/>
      </w:pPr>
      <w:r>
        <w:rPr>
          <w:b w:val="0"/>
          <w:sz w:val="20"/>
        </w:rPr>
        <w:t>Founder, SUNBLAZE Co., Ltd.</w:t>
      </w:r>
    </w:p>
    <w:p>
      <w:pPr>
        <w:spacing w:before="0" w:after="0" w:line="312" w:lineRule="auto"/>
      </w:pPr>
      <w:r>
        <w:rPr>
          <w:b w:val="0"/>
          <w:sz w:val="20"/>
        </w:rPr>
        <w:t>Tokyo, Japan</w:t>
      </w:r>
    </w:p>
    <w:p>
      <w:pPr>
        <w:spacing w:before="0" w:after="0" w:line="312" w:lineRule="auto"/>
      </w:pPr>
      <w:r>
        <w:rPr>
          <w:b w:val="0"/>
          <w:sz w:val="20"/>
        </w:rPr>
        <w:t>ORCID: 0009-0009-7124-6669</w:t>
      </w:r>
    </w:p>
    <w:p>
      <w:pPr>
        <w:spacing w:before="0" w:after="0" w:line="312" w:lineRule="auto"/>
      </w:pPr>
      <w:r>
        <w:rPr>
          <w:b w:val="0"/>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