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Eisuke Tokiwa, MEng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Founder, SUNBLAZE Co., Ltd.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Tokyo, Japan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ORCID: 0009-0009-7124-6669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Email: eisuke.tokiwa@sunblaze.jp</w:t>
      </w:r>
    </w:p>
    <w:p>
      <w:pPr>
        <w:spacing w:after="0" w:line="276" w:lineRule="auto"/>
        <w:jc w:val="left"/>
      </w:pP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June 08, 2026</w:t>
      </w:r>
    </w:p>
    <w:p>
      <w:pPr>
        <w:spacing w:after="0" w:line="276" w:lineRule="auto"/>
        <w:jc w:val="left"/>
      </w:pP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 the Editors,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Systematic Reviews (BMC)</w:t>
      </w:r>
    </w:p>
    <w:p>
      <w:pPr>
        <w:spacing w:after="0" w:line="276" w:lineRule="auto"/>
        <w:jc w:val="left"/>
      </w:pP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Dear Editors,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I am pleased to submit “Big Five Personality Traits and Academic Achievement in Online Learning Environments: A Systematic Review and Meta-Analysis” for consideration in Systematic Reviews. The manuscript reports a pre-registered, PRISMA 2020-compliant systematic review and meta-analysis with a fully reproducible analytic pipeline.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Why this synthesis is needed.</w:t>
      </w:r>
      <w:r>
        <w:rPr>
          <w:rFonts w:ascii="Calibri" w:hAnsi="Calibri"/>
          <w:sz w:val="22"/>
        </w:rPr>
        <w:t xml:space="preserve"> Eight prior meta-analyses have established Conscientiousness as the strongest Big Five predictor of academic achievement (ρ ≈ .19–.28; Poropat, 2009 through Chen et al., 2025). However, every one of these syntheses has aggregated face-to-face, blended, and online samples without testing learning modality as a substantive moderator. As post-secondary instruction is increasingly delivered online, the question of whether face-to-face benchmarks generalize to technology-mediated environments has been empirically open and societally consequential. The present review is, to my knowledge, the first quantitative synthesis dedicated specifically to online learning environments.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Methodological rigor (highlights for Systematic Reviews readers).</w:t>
      </w:r>
      <w:r>
        <w:rPr>
          <w:rFonts w:ascii="Calibri" w:hAnsi="Calibri"/>
          <w:sz w:val="22"/>
        </w:rPr>
        <w:t xml:space="preserve"> (1) Protocol pre-registered on OSF Registries (E5W47) on 23 April 2026, prior to formal data extraction; PRISMA 2020-compliant reporting with the completed checklist deposited as supplementary material. (2) Effect-size synthesis on the Fisher z scale with REML τ² estimation and Hartung-Knapp-Sidik-Jonkman confidence-interval adjustment to control Type I error in small-k scenarios. (3) Risk of bias assessed with the Joanna Briggs Institute 8-item checklist for analytical cross-sectional studies; intra-rater reliability target κ ≥ 0.80 met for screening, full-text assessment, extraction, and RoB rating. (4) Seven pre-specified sensitivity analyses (COI exclusion, Peterson-Brown β-converted exclusion, RoB &lt; 5 exclusion, leave-one-out, alternative τ² estimators, HEXACO crosswalk variants, small-sample exclusion) all confirm robustness of the primary conclusions. (5) Publication-bias assessment using Egger's regression, Duval and Tweedie's trim-and-fill, and Simonsohn et al.'s p-curve. (6) Certainty of evidence rated using an adaptation of GRADE for correlational syntheses, yielding ratings ranging from Moderate (Conscientiousness, Extraversion) to Low (Openness, Agreeableness, Neuroticism). (7) Three pre-registered deviations are transparently disclosed (database access limitations, moderator quantitative-vs-narrative reduction with k-per-level documentation, and the post-registration addition of one benchmark meta-analysis to the introductory comparison set).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Principal results.</w:t>
      </w:r>
      <w:r>
        <w:rPr>
          <w:rFonts w:ascii="Calibri" w:hAnsi="Calibri"/>
          <w:sz w:val="22"/>
        </w:rPr>
        <w:t xml:space="preserve"> Across 31 catalogued primary studies (25 retained for qualitative synthesis, 10 contributing to the primary quantitative pool; pooled N = 3,384), Conscientiousness emerged as the strongest predictor (r = .167, 95% CI [.089, .243]) but at attenuated magnitude relative to face-to-face benchmarks (ρ ≈ .22–.28). Two pre-registered moderator effects were highly significant: Extraversion × Region (Q_between = 46.43, p &lt; .001) and Extraversion × Outcome Type (Q_between = 17.30, p &lt; .001), the latter being, to my knowledge, the first meta-analytic evidence that the choice of objective vs. self-rated outcome systematically alters the Extraversion–achievement association in online learning environments.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Fit with Systematic Reviews.</w:t>
      </w:r>
      <w:r>
        <w:rPr>
          <w:rFonts w:ascii="Calibri" w:hAnsi="Calibri"/>
          <w:sz w:val="22"/>
        </w:rPr>
        <w:t xml:space="preserve"> Systematic Reviews is the natural venue for a methodologically rigorous, preregistered, PRISMA 2020-compliant synthesis with a fully reproducible analytic pipeline. The manuscript's strict adherence to systematic review methodology, its transparent disclosure of pre-registered deviations, and its publicly deposited data + code + search logs are directly aligned with the journal's editorial mission.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Open science.</w:t>
      </w:r>
      <w:r>
        <w:rPr>
          <w:rFonts w:ascii="Calibri" w:hAnsi="Calibri"/>
          <w:sz w:val="22"/>
        </w:rPr>
        <w:t xml:space="preserve"> Pre-registration: https://doi.org/10.17605/OSF.IO/E5W47 (OSF Registries, registered 23 April 2026, prior to formal data extraction). Preprint: https://doi.org/10.21203/rs.3.rs-9513298 (Research Square v1, posted 27 April 2026). Data, analysis code, search logs, screening decisions, risk-of-bias ratings, and supplementary materials are publicly available on the OSF project (https://doi.org/10.17605/OSF.IO/79M5J), comprising seven separately DOI-tagged components covering protocol, search, screening, extraction, risk of bias, analysis, and the article-level DOI index. A version-controlled mirror is maintained at https://github.com/etoki/paper.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Conflict of interest.</w:t>
      </w:r>
      <w:r>
        <w:rPr>
          <w:rFonts w:ascii="Calibri" w:hAnsi="Calibri"/>
          <w:sz w:val="22"/>
        </w:rPr>
        <w:t xml:space="preserve"> I declare no financial conflicts of interest. One of my own prior, previously published primary studies — Tokiwa, E. (2025), "Who excels in online learning in Japan?", Frontiers in Psychology, 16, 1420996 (CC BY, open access; https://doi.org/10.3389/fpsyg.2025.1420996) — is potentially eligible for inclusion; this is addressed transparently through a pre-specified sensitivity analysis excluding the author's own study, which leaves the primary conclusions unchanged (|Δr| &lt; .001 for every trait, because that study did not contribute extractable zero-order correlations to the primary quantitative pool).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The manuscript has not been published elsewhere and is not under consideration by another journal. The Research Square preprint (v1) is explicitly disclosed above; any substantive revisions during peer review will be reflected in a versioned preprint update under the same DOI stem. I am the sole author and accept full accountability for all aspects of the work.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Thank you for considering this manuscript. I look forward to your decision.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Sincerely,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Eisuke Tokiwa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Founder, SUNBLAZE Co., Ltd.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Tokyo, Japan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ORCID: 0009-0009-7124-6669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Email: eisuke.tokiwa@sunblaze.jp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