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systematic review and meta-analysis was pre-registered on OSF Registries (https://doi.org/10.17605/OSF.IO/E5W47) prior to data extraction, and all data, analysis code, and supplementary materials are publicly available in the associated OSF project (https://doi.org/10.17605/OSF.IO/79M5J).</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[1]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systematic review and meta-analysis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 2020 reporting guidelines for systematic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systematic review and meta-analysis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systematic review and meta-analysis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and screening decisions; 04_extraction (https://doi.org/10.17605/OSF.IO/5UW98) — data extraction CSV and coding manual; 05_risk_of_bias (https://doi.org/10.17605/OSF.IO/3XYNE) — JBI risk-of-bias ratings for each included study;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(https://doi.org/10.21203/rs.3.rs-9513298).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systematic review and meta-analysis offers a first, preliminary quantitative synthesis dedicated to online learning environments. Following PRISMA 2020 standards, 25 primary studies were retained for systematic synthesis (cataloguing 31 full-text records in Table 1, including 6 documented post-eligibility exclusions for PRISMA transparency) reporting Big Five personality and academic achievement in online, blended, or MOOC environments. Ten studies (pooled </w:t>
      </w:r>
      <w:r>
        <w:rPr>
          <w:rFonts w:ascii="Times New Roman" w:hAnsi="Times New Roman" w:eastAsia="Times New Roman"/>
          <w:i/>
          <w:sz w:val="24"/>
        </w:rPr>
        <w:t>N</w:t>
      </w:r>
      <w:r>
        <w:rPr>
          <w:rFonts w:ascii="Times New Roman" w:hAnsi="Times New Roman" w:eastAsia="Times New Roman"/>
          <w:sz w:val="24"/>
        </w:rPr>
        <w:t xml:space="preserve"> = 3,384) contributed direct or β-converted Pearson correlations to the primary achievement pool,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Conscientiousness was the strongest predictor (pooled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Two pre-registered subgroup contrasts showed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 but these contrasts rest on a small number of studies per subgroup and should be treated as exploratory rather than confirmatory. The findings are broadly consistent with the Personality-Achievement Saturation Hypothesis [2] extended to technology-mediated learning, but the small primary pool (</w:t>
      </w:r>
      <w:r>
        <w:rPr>
          <w:rFonts w:ascii="Times New Roman" w:hAnsi="Times New Roman" w:eastAsia="Times New Roman"/>
          <w:i/>
          <w:sz w:val="24"/>
        </w:rPr>
        <w:t>k</w:t>
      </w:r>
      <w:r>
        <w:rPr>
          <w:rFonts w:ascii="Times New Roman" w:hAnsi="Times New Roman" w:eastAsia="Times New Roman"/>
          <w:sz w:val="24"/>
        </w:rPr>
        <w:t xml:space="preserve"> = 10), substantial heterogeneity, and wide prediction intervals (which include zero for most traits) mean that this consistency does not yet constitute strong confirmation. GRADE confidence ranged from Moderate (Conscientiousness, Extraversion) to Low (Openness, Agreeableness, Neuroticism). The synthesis offers a tentative empirical reference point and identifies a priority research agenda — replication with a larger and more linguistically inclusive corpus, facet-level analyses, and explicit modality contrasts — but the conclusions should not be over-extrapolated to practical pedagogical recommendations on the basis of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systematic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predictors of academic achievement that were established in face-to-face classrooms retain their predictive validity when instruction is mediated by technology? Personality traits, and in particular the Big Five (Five-Factor Model) dimensions of Conscientiousness, Openness to Experience, Extraversion, Agreeableness, and Neuroticism, are among the most widely studied non-cognitive predictors of academic achievement [3, 4]. Yet the accumulated meta-analytic evidence, as reviewed below, has been produced almost entirely from samples in which delivery modality is treated as noise rather than as a substantive moderator. The present review is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[4],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[5] provided additional evidence that Conscientiousness predicts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[3],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[6],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[7],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predictor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predictor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[8].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[9].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predictions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predictions are theoretically grounded,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[10],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[10]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[11]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predicting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[12], comparing online and blended sections of the same course, found Conscientiousness to predict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[13]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[14],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prediction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predictors of engagement. Yu [15],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predictors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[3]; [7]). Bahçekapılı and Karaman [16],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[3, 2], with Openness effects declining across the educational trajectory while Conscientiousness effects remain stable; whether this pattern holds in online contexts is unknown. Third, region and cultural context may moderate effects: Mammadov [3] and Chen et al. [7] both reported amplified Conscientiousness and Agreeableness effects in East Asian and other collectivistic samples, and Chen et al. [7]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[17]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systematic review and meta-analysis is, to our knowledge, the first quantitative synthesis of the association between Big Five personality traits and academic achievement that focuses specifically on online learning environments. Our review addresses three research questions and evaluates five directional hypotheses. The research questions are as follows. First (RQ1), what is the pooled magnitude of the association between each Big Five trait and academic achievement in online learning environments, and how does this magnitude compare with published face-to-face benchmarks? Second (RQ2), does the personality-achievement association vary systematically across learning modality, education level, region, era, outcome type, and personality instrument? Third (RQ3), is the personality-achievement association in online environments fully accounted for by mediating constructs such as self-efficacy and self-regulation, or does it exhibit direct effects beyond these mediators?</w:t>
      </w:r>
    </w:p>
    <w:p>
      <w:pPr>
        <w:spacing w:line="480" w:lineRule="auto" w:before="0" w:after="0"/>
        <w:ind w:firstLine="720"/>
      </w:pPr>
      <w:r>
        <w:rPr>
          <w:rFonts w:ascii="Times New Roman" w:hAnsi="Times New Roman" w:eastAsia="Times New Roman"/>
          <w:sz w:val="24"/>
        </w:rPr>
        <w:t xml:space="preserve">Five directional hypotheses, pre-specified in the OSF registration (https://osf.io/e5w47/), are evaluated. Hypothesis 1 (H1) states that Conscientiousness will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Hypothesis 2 (H2) states that Openness will show the second-strongest positive correlation, potentially stronger than in face-to-face contexts, reflecting the premium placed on self-directed exploration in online environments. Hypothesis 3 (H3) states that Agreeableness will show a small positive correlation, potentially weaker than in face-to-face contexts because cooperative group behaviors are less central in asynchronous online environments. Hypothesis 4 (H4) states that Neuroticism will show a negative correlation, more pronounced in fully online than in blended modalities, reflecting the isolating and technology-mediated nature of fully online environments. Hypothesis 5 (H5) states that Extraversion will show a null or weak negative correlation, with possible facet-level cancellation between sociability (expected negative) and assertiveness (expected positive) components, reflecting the reduced social presence of online environments. Hypotheses H2, H4, and H5 constitute the novel contribution of this review, as they predict modality-specific divergences from established patterns observed in face-to-face meta-analyses.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the first quantitative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systematic review and meta-analysis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Systematic Review and Meta-Analysis Protocols (PRISMA-P) 2015 statement [18].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[19], and the completed PRISMA 2020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The pre-registered search plan specified six electronic databases—PubMed/MEDLINE, PsycINFO, the Education Resources Information Center (ERIC), Web of Science (Core Collection), Scopus, and ProQuest Dissertations &amp; Theses Global—supplemented by Google Scholar (first 200 hits per query) and forward/backward citation snowballing. Because the review was executed in a computing environment that did not have institutional access to the subscription-gated databases (Scopus, Web of Science, PsycINFO), and because the direct E-utilities and OpenAlex APIs were unavailable due to network allowlist restrictions, the final search was executed through a web-based search interface equivalent in coverage to Google Scholar, combined with targeted retrieval from open-access repositories (PubMed Central, Frontiers, MDPI, Open Praxis). This constitutes a deviation from the pre-registered protocol and is discussed transparently under “Deviations from the Pre-registered Protocol.” The deviation was mitigated by applying the same pre-specified three-concept Boolean search strategy across all executed queries and by retaining the original retrieval logs on the OSF project.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[4, 17, 20, 5, 3, 6, 2, 7]. Reference lists of the most directly relevant narrative review [10]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 2020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[21],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[22]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[23],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[24]: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primary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[25]).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[26],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primary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[27]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[28]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[29],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primary pooling models were re-estimated (a) excluding studies with a risk-of-bias aggregate score below 5; (b) excluding the present author's own prior primary study [1]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Publication bias was assessed per trait using four complementary procedures: visual inspection of funnel plots with pseudo-95% confidence bounds; Egger's regression asymmetry test [31]; Peters' regression test adapted for correlation effect sizes; and Duval and Tweedie's [30] trim-and-fill procedure, reported as a sensitivity check rather than as a point-estimate correction. In addition, p-curve analysis [32] was performed to evaluate the evidential value of the statistically significant primary findings. Grey literature—doctoral dissertations and peer-reviewed conference proceedings—was included in the primary synthesis to partially mitigate publication bias arising from the file-drawer problem, while unpublished manuscripts and non-peer-reviewed preprints were excluded for quality reasons; this trade-off is acknowledged as a limitation in the Discussion.</w:t>
      </w:r>
    </w:p>
    <w:p>
      <w:pPr>
        <w:pStyle w:val="Heading2"/>
        <w:spacing w:line="480" w:lineRule="auto" w:before="0" w:after="0"/>
      </w:pPr>
      <w:r>
        <w:t>Confidence in Cumulative Evidence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for observational correlational syntheses [33].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core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[7] was identified after the pre-registration was time-stamped but before data extraction was completed; it was added to the Introduction's benchmark corpus rather than to the primary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primary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[16] to .37 in [11] paper-grade outcome), TIPI-J (</w:t>
      </w:r>
      <w:r>
        <w:rPr>
          <w:rFonts w:ascii="Times New Roman" w:hAnsi="Times New Roman" w:eastAsia="Times New Roman"/>
          <w:i/>
          <w:sz w:val="24"/>
        </w:rPr>
        <w:t>r</w:t>
      </w:r>
      <w:r>
        <w:rPr>
          <w:rFonts w:ascii="Times New Roman" w:hAnsi="Times New Roman" w:eastAsia="Times New Roman"/>
          <w:sz w:val="24"/>
        </w:rPr>
        <w:t xml:space="preserve"> = .144 in [14]), and β-converted studies ([15] and [34]). Consistent with McAbee and Oswald [17],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primary quantitative pool, larger samples ([15] </w:t>
      </w:r>
      <w:r>
        <w:rPr>
          <w:rFonts w:ascii="Times New Roman" w:hAnsi="Times New Roman" w:eastAsia="Times New Roman"/>
          <w:i/>
          <w:sz w:val="24"/>
        </w:rPr>
        <w:t>N</w:t>
      </w:r>
      <w:r>
        <w:rPr>
          <w:rFonts w:ascii="Times New Roman" w:hAnsi="Times New Roman" w:eastAsia="Times New Roman"/>
          <w:sz w:val="24"/>
        </w:rPr>
        <w:t xml:space="preserve"> = 1,152; [16] </w:t>
      </w:r>
      <w:r>
        <w:rPr>
          <w:rFonts w:ascii="Times New Roman" w:hAnsi="Times New Roman" w:eastAsia="Times New Roman"/>
          <w:i/>
          <w:sz w:val="24"/>
        </w:rPr>
        <w:t>N</w:t>
      </w:r>
      <w:r>
        <w:rPr>
          <w:rFonts w:ascii="Times New Roman" w:hAnsi="Times New Roman" w:eastAsia="Times New Roman"/>
          <w:sz w:val="24"/>
        </w:rPr>
        <w:t xml:space="preserve"> = 525; [34] </w:t>
      </w:r>
      <w:r>
        <w:rPr>
          <w:rFonts w:ascii="Times New Roman" w:hAnsi="Times New Roman" w:eastAsia="Times New Roman"/>
          <w:i/>
          <w:sz w:val="24"/>
        </w:rPr>
        <w:t>N</w:t>
      </w:r>
      <w:r>
        <w:rPr>
          <w:rFonts w:ascii="Times New Roman" w:hAnsi="Times New Roman" w:eastAsia="Times New Roman"/>
          <w:sz w:val="24"/>
        </w:rPr>
        <w:t xml:space="preserve"> = 413; [35] </w:t>
      </w:r>
      <w:r>
        <w:rPr>
          <w:rFonts w:ascii="Times New Roman" w:hAnsi="Times New Roman" w:eastAsia="Times New Roman"/>
          <w:i/>
          <w:sz w:val="24"/>
        </w:rPr>
        <w:t>N</w:t>
      </w:r>
      <w:r>
        <w:rPr>
          <w:rFonts w:ascii="Times New Roman" w:hAnsi="Times New Roman" w:eastAsia="Times New Roman"/>
          <w:sz w:val="24"/>
        </w:rPr>
        <w:t xml:space="preserve"> = 301; [36] </w:t>
      </w:r>
      <w:r>
        <w:rPr>
          <w:rFonts w:ascii="Times New Roman" w:hAnsi="Times New Roman" w:eastAsia="Times New Roman"/>
          <w:i/>
          <w:sz w:val="24"/>
        </w:rPr>
        <w:t>N</w:t>
      </w:r>
      <w:r>
        <w:rPr>
          <w:rFonts w:ascii="Times New Roman" w:hAnsi="Times New Roman" w:eastAsia="Times New Roman"/>
          <w:sz w:val="24"/>
        </w:rPr>
        <w:t xml:space="preserve"> = 282; [13] </w:t>
      </w:r>
      <w:r>
        <w:rPr>
          <w:rFonts w:ascii="Times New Roman" w:hAnsi="Times New Roman" w:eastAsia="Times New Roman"/>
          <w:i/>
          <w:sz w:val="24"/>
        </w:rPr>
        <w:t>N</w:t>
      </w:r>
      <w:r>
        <w:rPr>
          <w:rFonts w:ascii="Times New Roman" w:hAnsi="Times New Roman" w:eastAsia="Times New Roman"/>
          <w:sz w:val="24"/>
        </w:rPr>
        <w:t xml:space="preserve"> = 260; Alkış &amp; Taşkaya [12]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([11] </w:t>
      </w:r>
      <w:r>
        <w:rPr>
          <w:rFonts w:ascii="Times New Roman" w:hAnsi="Times New Roman" w:eastAsia="Times New Roman"/>
          <w:i/>
          <w:sz w:val="24"/>
        </w:rPr>
        <w:t>N</w:t>
      </w:r>
      <w:r>
        <w:rPr>
          <w:rFonts w:ascii="Times New Roman" w:hAnsi="Times New Roman" w:eastAsia="Times New Roman"/>
          <w:sz w:val="24"/>
        </w:rPr>
        <w:t xml:space="preserve"> = 92; [37]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[38]; general learning-engagement scale not online-specific) and one (A-02 Alkış &amp; Taşkaya [12])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[1]; A-26 [39]), with an additional K-12 record (A-10 [40])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primary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All quantitative analyses were performed in R (version ≥ 4.3.0) using the metafor package [41] as the primary engine for random-effects meta-analysis, mixed-effects meta-regression, and heterogeneity diagnostics. The clubSandwich package was used for robust variance estimation [42], and the dmetar companion package [43] was used for auxiliary diagnostic and plotting functions. Visualizations, including forest plots, funnel plots, and bubble plots, were produced using ggplot2. All analysis code, session information (sessionInfo() output), and a pinned package-version lockfile (renv.lock) are deposited on the associated OSF project (https://doi.org/10.17605/OSF.IO/79M5J), specifically in the 06_analysis component (https://doi.org/10.17605/OSF.IO/Q4XKB). Any interested researcher can reproduce every analytic step reported in this paper from the deposited extraction CSV and the R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 2020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[16]; A-30 [34]; A-31 [14]; A-37 [36]) were added, for a total of 31 primary studies catalogued in this review (Table 1). Of these 31 catalogued records, 25 were retained for qualitative synthesis (10 contributing direct or β-converted Pearson correlations to the primary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primary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[15] and A-30 [34]), and one was flagged as a conflict-of-interest study because it is the present author's own prior primary research (A-25 [1]; Tokiwa is in the qualitative-synthesis 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primary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[37] to 1,625 [39],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primary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Tokiwa, A-26 Wang), undergraduate (15 studies), mixed undergraduate/graduate (5 studies: A-08, A-18, A-20, A-28, A-30), graduate only (2 studies: A-07 [44]; A-37 [36]), and mixed secondary/post-secondary (1 study: A-11 [9]). Regional distribution, important for the pre-registered Asian-amplification moderator analysis, was Asia (12 studies; includes East Asian and Middle Eastern samples), Europe (7 studies), and North America (6 studies); within the primary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[47]), the Ten-Item Personality Inventory (TIPI, TIPI-J; 2 studies: A-31 Rivers, A-37 Zheng &amp; Zheng), and other validated Big Five–aligned scales (Sahinidis and Tsaknis's [45] 30-item custom scale, Chinese-language Big Five scales of A-20 Mustafa et al. [46] and A-26 Wang et al. [39], and McCrae's 40-item scale used in A-28 Yu; 4 studies in total). Achievement outcomes in the 10-study primary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primary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[13]) or objective LMS-log outcome measurement (A-28 [15]; A-31 [14]). Intra-rater reliability for risk-of-bias assessment, estimated on a 20% subsample, met the pre-specified threshold of κ ≥ 0.80.</w:t>
      </w:r>
    </w:p>
    <w:p>
      <w:pPr>
        <w:pStyle w:val="Heading2"/>
        <w:spacing w:line="480" w:lineRule="auto" w:before="0" w:after="0"/>
      </w:pPr>
      <w:r>
        <w:t>Primary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supporting Hypothesis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confirming the ordinal prediction of H1,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[4], McAbee and Oswald [17], Vedel [20], Mammadov [3], Meyer et al. [2], and Chen et al. [7].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predicted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Hypothesis 5 (H5), which predicted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[4, 20, 7], contrary to Hypothesis 3 (H3), which predicted a weaker Agreeableness effect in online than in face-to-face contexts. Within the primary pool the largest Agreeableness contribution came from a single Chinese MOOC sample (A-28 [15];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primary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prediction of Hypothesis 4 (H4), which expected a negative effect more pronounced in fully online than in blended modalities; H4 was not supported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Within the 10-study primary Neuroticism pool, signs were mixed: Rodrigues et al. [13] reported a negative direct association with sign-flipped GPA (</w:t>
      </w:r>
      <w:r>
        <w:rPr>
          <w:rFonts w:ascii="Times New Roman" w:hAnsi="Times New Roman" w:eastAsia="Times New Roman"/>
          <w:i/>
          <w:sz w:val="24"/>
        </w:rPr>
        <w:t>r</w:t>
      </w:r>
      <w:r>
        <w:rPr>
          <w:rFonts w:ascii="Times New Roman" w:hAnsi="Times New Roman" w:eastAsia="Times New Roman"/>
          <w:sz w:val="24"/>
        </w:rPr>
        <w:t xml:space="preserve"> = −.142), and Bahçekapılı and Karaman [16] likewise reported a negative direct </w:t>
      </w:r>
      <w:r>
        <w:rPr>
          <w:rFonts w:ascii="Times New Roman" w:hAnsi="Times New Roman" w:eastAsia="Times New Roman"/>
          <w:i/>
          <w:sz w:val="24"/>
        </w:rPr>
        <w:t>r</w:t>
      </w:r>
      <w:r>
        <w:rPr>
          <w:rFonts w:ascii="Times New Roman" w:hAnsi="Times New Roman" w:eastAsia="Times New Roman"/>
          <w:sz w:val="24"/>
        </w:rPr>
        <w:t xml:space="preserve"> (−.072), whereas the two β-converted contributions ([15] weakly positive </w:t>
      </w:r>
      <w:r>
        <w:rPr>
          <w:rFonts w:ascii="Times New Roman" w:hAnsi="Times New Roman" w:eastAsia="Times New Roman"/>
          <w:i/>
          <w:sz w:val="24"/>
        </w:rPr>
        <w:t>β</w:t>
      </w:r>
      <w:r>
        <w:rPr>
          <w:rFonts w:ascii="Times New Roman" w:hAnsi="Times New Roman" w:eastAsia="Times New Roman"/>
          <w:sz w:val="24"/>
        </w:rPr>
        <w:t xml:space="preserve"> = .037; [34] </w:t>
      </w:r>
      <w:r>
        <w:rPr>
          <w:rFonts w:ascii="Times New Roman" w:hAnsi="Times New Roman" w:eastAsia="Times New Roman"/>
          <w:i/>
          <w:sz w:val="24"/>
        </w:rPr>
        <w:t>β</w:t>
      </w:r>
      <w:r>
        <w:rPr>
          <w:rFonts w:ascii="Times New Roman" w:hAnsi="Times New Roman" w:eastAsia="Times New Roman"/>
          <w:sz w:val="24"/>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rPr>
        <w:t>ρ</w:t>
      </w:r>
      <w:r>
        <w:rPr>
          <w:rFonts w:ascii="Times New Roman" w:hAnsi="Times New Roman" w:eastAsia="Times New Roman"/>
          <w:sz w:val="24"/>
        </w:rPr>
        <w:t xml:space="preserve"> = −.542 with general satisfaction; secondary-outcome study, not in the primary pool).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H4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[3, 2]—indicate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[3] and Chen et al. [7]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[7]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primary quantitative pool (the 4 post-COVID studies in the qualitative-synthesis retained set — A-13 [38]; A-17 [48]; A-25 [1]; A-26 [39]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[1] did not change the pooled estimates at all (|Δr| &lt; .001 for every trait), because the author's study did not contribute zero-order correlations to the primary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predicted by Hypotheses 4 and 2, respectively. This pattern suggests that the β-converted studies systematically attenuate trait effects and should be interpreted cautiously. Fourth, the leave-one-out analysis (Table S3) identified Yu [15] as the single most influential study for both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.038, |Δr| = .074) and the Extraversion pool (removal shifted </w:t>
      </w:r>
      <w:r>
        <w:rPr>
          <w:rFonts w:ascii="Times New Roman" w:hAnsi="Times New Roman" w:eastAsia="Times New Roman"/>
          <w:i/>
          <w:sz w:val="24"/>
        </w:rPr>
        <w:t>r</w:t>
      </w:r>
      <w:r>
        <w:rPr>
          <w:rFonts w:ascii="Times New Roman" w:hAnsi="Times New Roman" w:eastAsia="Times New Roman"/>
          <w:sz w:val="24"/>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t>Publication Bias Assessment</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Given the low statistical power of Egger's test with </w:t>
      </w:r>
      <w:r>
        <w:rPr>
          <w:rFonts w:ascii="Times New Roman" w:hAnsi="Times New Roman" w:eastAsia="Times New Roman"/>
          <w:i/>
          <w:sz w:val="24"/>
        </w:rPr>
        <w:t>k</w:t>
      </w:r>
      <w:r>
        <w:rPr>
          <w:rFonts w:ascii="Times New Roman" w:hAnsi="Times New Roman" w:eastAsia="Times New Roman"/>
          <w:sz w:val="24"/>
        </w:rPr>
        <w:t xml:space="preserve"> = 9–10, a non-significant result does not rule out publication bias, particularly for effects for which the direction of asymmetry is consistent with expected small-study positive bias (Conscientiousness).</w:t>
      </w:r>
    </w:p>
    <w:p>
      <w:pPr>
        <w:spacing w:line="480" w:lineRule="auto" w:before="0" w:after="0"/>
        <w:ind w:firstLine="720"/>
      </w:pPr>
      <w:r>
        <w:rPr>
          <w:rFonts w:ascii="Times New Roman" w:hAnsi="Times New Roman" w:eastAsia="Times New Roman"/>
          <w:sz w:val="24"/>
        </w:rPr>
        <w:t xml:space="preserve">Duval and Tweedie's [30]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Hypothesis 5, further supporting the hypothesis when asymmetry is considered. Trim-and-fill adjusted estimates are reported as a sensitivity check only and do not replace the primary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GRADE Summary of Findings</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H5,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systematic review and meta-analysis provides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primary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predictor,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primarily by a single influential Chinese MOOC sample [15] within the primary pool, with convergent narrative evidence from East Asian [39] and Israeli [49] secondary-outcome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Hypothesis 1 (Conscientiousness as strongest positive predictor).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H1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consistent with the theoretical prediction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Hypothesis 2 (Openness as second-strongest positive predictor).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H2 is not supported. The prediction that online environments would amplify the Openness effect through a premium on self-directed exploration was not borne out; the failure to support H2 may partly reflect the near-universal use of undergraduate rather than K-12 samples in the online corpus, since Openness effects are known to decline with educational level [3, 2].</w:t>
      </w:r>
    </w:p>
    <w:p>
      <w:pPr>
        <w:spacing w:line="480" w:lineRule="auto" w:before="0" w:after="0"/>
        <w:ind w:firstLine="720"/>
      </w:pPr>
      <w:r>
        <w:rPr>
          <w:rFonts w:ascii="Times New Roman" w:hAnsi="Times New Roman" w:eastAsia="Times New Roman"/>
          <w:sz w:val="24"/>
        </w:rPr>
        <w:t xml:space="preserve">Hypothesis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[4, 20, 7]. H3, which predicted a weaker rather than stronger effect, is therefore not supported. Within the 9-study primary Agreeableness pool, the pooled estimate is driven principally by a single influential Chinese MOOC sample (A-28 [15];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primary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primary pool). These directional findings converge with Mammadov's [3] Asian-sample amplification pattern and with Chen et al.'s [7]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Hypothesis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The first component of H4 — an overall negative pooled effect — is not supported by the primary analysis. The second component of H4 — a more pronounced negative effect in fully online than in blended modalities — could not be evaluated quantitatively because only one study (A-02 Alkış &amp; Taşkaya [12])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providing partial directional support for the H4 sign prediction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[15] and [34])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Hypothesis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H5's prediction of a null overall effect. The overall H5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the first meta-analytic evidence for a directional shift in the Extraversion effect attributable to (a) cultural context and (b) outcome operationalization in online learning environments, extending the near-null face-to-face estimate [4, 7] toward a culturally and methodologically structured pattern of divergence. Whether these contextual shifts reflect the H5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[2]), which posits that Conscientiousness is channeled into academic outcomes through behavioral signals visible to graders. In online environments with automated grading, reduced teacher observation, and fewer opportunities for classroom-level behavioral indicators, the PASH framework predicts a weakened Conscientiousness effect; the present meta-analytic estimate is consistent with this prediction, though the magnitude of attenuation (Δr ≈ .04–.10 depending on benchmark) is at or near the replicability threshold documented by Zell and Lesick [6]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and the Outcome-Type × Extraversion subgroup contrast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 effects on tertiary academic achievement [7, 4], with the few modest positive effects concentrated in elementary/middle school contexts where classroom participation is more salient [3].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[50], but cannot by itself be taken as evidence for either model.</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[3] and Chen et al. [7],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[15]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primary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t>Tentative Practical Implications</w:t>
      </w:r>
    </w:p>
    <w:p>
      <w:pPr>
        <w:spacing w:line="480" w:lineRule="auto" w:before="0" w:after="0"/>
        <w:ind w:firstLine="720"/>
      </w:pPr>
      <w:r>
        <w:rPr>
          <w:rFonts w:ascii="Times New Roman" w:hAnsi="Times New Roman" w:eastAsia="Times New Roman"/>
          <w:sz w:val="24"/>
        </w:rPr>
        <w:t>We note up front that the practical implications below are best read as tentative working hypotheses rather than as actionable design or pedagogical recommendations. The primary achievement pool is small (</w:t>
      </w:r>
      <w:r>
        <w:rPr>
          <w:rFonts w:ascii="Times New Roman" w:hAnsi="Times New Roman" w:eastAsia="Times New Roman"/>
          <w:i/>
          <w:sz w:val="24"/>
        </w:rPr>
        <w:t>k</w:t>
      </w:r>
      <w:r>
        <w:rPr>
          <w:rFonts w:ascii="Times New Roman" w:hAnsi="Times New Roman" w:eastAsia="Times New Roman"/>
          <w:sz w:val="24"/>
        </w:rPr>
        <w:t xml:space="preserve"> = 10), heterogeneity is moderate to high for most traits, prediction intervals cross zero for all traits except Conscientiousness, and the two moderator contrasts that drive the modality-related implications below rest on a very small number of studies per subgroup (in some cases two to three). Practitioners and educational technology developers should not use the present synthesis as a sole basis for design or instructional decisions, and any of the implications below should be validated against larger and more linguistically inclusive future syntheses before being operationalised.</w:t>
      </w:r>
    </w:p>
    <w:p>
      <w:pPr>
        <w:spacing w:line="480" w:lineRule="auto" w:before="0" w:after="0"/>
        <w:ind w:firstLine="720"/>
      </w:pPr>
      <w:r>
        <w:rPr>
          <w:rFonts w:ascii="Times New Roman" w:hAnsi="Times New Roman" w:eastAsia="Times New Roman"/>
          <w:sz w:val="24"/>
        </w:rPr>
        <w:t>Subject to those caveats, the preserved (albeit slightly reduced) Conscientiousness effect (</w:t>
      </w:r>
      <w:r>
        <w:rPr>
          <w:rFonts w:ascii="Times New Roman" w:hAnsi="Times New Roman" w:eastAsia="Times New Roman"/>
          <w:i/>
          <w:sz w:val="24"/>
        </w:rPr>
        <w:t>r</w:t>
      </w:r>
      <w:r>
        <w:rPr>
          <w:rFonts w:ascii="Times New Roman" w:hAnsi="Times New Roman" w:eastAsia="Times New Roman"/>
          <w:sz w:val="24"/>
        </w:rPr>
        <w:t xml:space="preserve"> = .167) is consistent with the broadly held expectation that features supporting self-regulated learning—structured scheduling tools, progress tracking, deadline reminders, and LMS engagement analytics—are likely to benefit learners who are lower in Conscientiousness. This is also the implication that draws on the most stable finding in the present synthesis (Conscientiousness is the only trait whose 95% prediction interval does not include zero), and is therefore the implication for which the present evidence base provides the least tentative support.</w:t>
      </w:r>
    </w:p>
    <w:p>
      <w:pPr>
        <w:spacing w:line="480" w:lineRule="auto" w:before="0" w:after="0"/>
        <w:ind w:firstLine="720"/>
      </w:pPr>
      <w:r>
        <w:rPr>
          <w:rFonts w:ascii="Times New Roman" w:hAnsi="Times New Roman" w:eastAsia="Times New Roman"/>
          <w:sz w:val="24"/>
        </w:rPr>
        <w:t>The exploratory subgroup finding that the Extraversion-achievement association is negative in Asian samples and in objective outcomes — and positive in non-Asian samples and in self-rated outcomes — may be hypothesised, on the present evidence, to imply that (a) intentional incorporation of synchronous elements in fully asynchronous Asian-context courses may partially restore the social channels through which extraverted learners express engagement, and (b) self-rated performance metrics in online contexts may be subject to extraversion-related self-enhancement and should be triangulated with objective indicators where possible. We emphasise, however, that the Region and Outcome-Type subgroup contrasts are based on as few as two studies per level on at least one side of the contrast; that the Asian subset includes Middle Eastern samples whose theoretical positioning relative to East Asian collectivism is debated; and that the English-language restriction means a non-trivial fraction of the underlying Asian-context literature was implicitly excluded. These implications should therefore be treated as exploratory leads for primary-research replication rather than as established practical guidance.</w:t>
      </w:r>
    </w:p>
    <w:p>
      <w:pPr>
        <w:spacing w:line="480" w:lineRule="auto" w:before="0" w:after="0"/>
        <w:ind w:firstLine="720"/>
      </w:pPr>
      <w:r>
        <w:rPr>
          <w:rFonts w:ascii="Times New Roman" w:hAnsi="Times New Roman" w:eastAsia="Times New Roman"/>
          <w:sz w:val="24"/>
        </w:rPr>
        <w:t>The larger-than-expected Agreeableness pooled estimate (</w:t>
      </w:r>
      <w:r>
        <w:rPr>
          <w:rFonts w:ascii="Times New Roman" w:hAnsi="Times New Roman" w:eastAsia="Times New Roman"/>
          <w:i/>
          <w:sz w:val="24"/>
        </w:rPr>
        <w:t>r</w:t>
      </w:r>
      <w:r>
        <w:rPr>
          <w:rFonts w:ascii="Times New Roman" w:hAnsi="Times New Roman" w:eastAsia="Times New Roman"/>
          <w:sz w:val="24"/>
        </w:rPr>
        <w:t xml:space="preserve"> = .112) is driven primarily by a single Chinese MOOC sample [15]; the pre-specified single-study leave-one-out sensitivity analysis showed that excluding this study substantially attenuates the Agreeableness effect. The Agreeableness finding is therefore one of the most fragile in the synthesis and should not, by itself, motivate cooperative-learning design recommendations. Convergent narrative evidence from other East Asian and Israeli studies is directionally consistent but not by itself sufficient to establish a robust cooperative-learning implication. The failure to support an amplified Openness effect suggests, tentatively, that exploration-oriented features of online environments do not currently translate into consistent achievement advantages for high-Openness learners — possibly reflecting the standardization of online assessment and the constrained range of exploration afforded by most institutional LMS platforms — but this null is itself based on a very small primary pool and should be revisited as the literature grows.</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primary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[15]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quantitative meta-analytic synthesis dedicated to online learning environments, filling a documented gap in the Big Five–achievement literature acknowledged by eight prior meta-analyses [7, 3, 17, 2, 4, 5, 20, 6] and one narrative review [10].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[23] transformation) is at the lower bound of what is generally considered adequate for robust random-effects estimation [29]. With a primary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[1] was included in the qualitative-synthesis retained set as a potentially eligible record. A pre-specified sensitivity analysis excluding this study did not alter the pooled estimates (|Δr| &lt; .001 for every trait) because Tokiwa [1] did not contribute extractable zero-order correlations to the primary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documented Extraversion × modality interaction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[36] within a single institution—are needed to adjudicate whether era effects reflect genuine changes in the personality-achievement mechanism or sampling artifacts. Fourth, cross-cultural replication with matched online course content and assessment would isolate the cultural-moderator contribution to the Agreeableness effect. Fifth, mediator analyses probing self-efficacy, self-regulated learning behaviors, and LMS engagement patterns would clarify the causal pathway from personality to online achievement, extending the Stajkovic et al. [5] path-analytic framework to online contexts.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primary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predictor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[15], and this finding is fragile to the exclusion of that single study; and Neuroticism and Openness effects were essentially null in the primary synthesis. The findings are consistent with the Personality-Achievement Saturation Hypothesis [2]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left"/>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1. 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2. 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3. 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4. 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5. 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6. 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7. 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8. 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9. 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10. 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11. 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12. 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13. 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14. 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15. 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16. 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17. 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18. 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19. 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20. 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21. 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22. 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23. 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24. 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25. 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26. 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27. 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28. 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29. 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30. 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31. 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32. 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33. 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34. 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35. 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36. 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pPr>
        <w:spacing w:line="480" w:lineRule="auto" w:before="0" w:after="0"/>
        <w:ind w:left="720" w:hanging="720"/>
      </w:pPr>
      <w:r>
        <w:rPr>
          <w:rFonts w:ascii="Times New Roman" w:hAnsi="Times New Roman" w:eastAsia="Times New Roman"/>
          <w:sz w:val="24"/>
        </w:rPr>
        <w:t xml:space="preserve">37. 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38. 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39. 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40. 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41. 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42. 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43. 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44. 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45. 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46. 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47. 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48. 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49. 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50. 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[11]</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[12]</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[58]</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[56]</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[55]</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[45]</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[44]</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[59]</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[53]</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[40]</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[9]</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[49]</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[38]</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[37]</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[54]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[48]</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[60]</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[47]</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[46]</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[61]</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[35]</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[13]</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[57]</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[1]</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[39]</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[15]</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[16]</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[34]</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[14]</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[36]</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Note. ID = study identifier in the deep-reading-notes ledger (A-XX sequence). N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column groups studies into three tiers: (1) QUANTITATIVE PRIMARY POOL (k = 10) — Inc-pri = included in primary achievement pool with direct r; Inc-pri* = included with caveat (β-converted, partial trait coverage, or conditional outcome proxy); Inc (COI) = included with conflict-of-interest flag (author's own prior study, sensitivity analysis excludes). (2) QUALITATIVE / SECONDARY SYNTHESIS (retained for narrative) — Inc-sec = retained in the systematic review for secondary outcomes (satisfaction, engagement, preference, perception) but no extractable r for the primary achievement pool. (3) EXCLUDED POST-ELIGIBILITY (documented for PRISMA transparency, NOT in synthesis) — Exc = excluded at eligibility (face-to-face modality, or no extractable effect size); Exc-dup = excluded due to sample overlap with an already-included study; — = PDF could not be retrieved. The 31 catalogued studies decompose as: 10 primary + 15 secondary = 25 retained, plus 6 documented post-eligibility exclusions. RoB = aggregate score on the Joanna Briggs Institute 8-item critical appraisal checklist (0–8; higher = lower risk). A-14 Eilam [51] and A-27 Wu &amp; Yu [52] are omitted from the table because the former was excluded at the modality screening stage (face-to-face) and the latter was not available as a retrievable PDF; both are disclosed in the PRISMA flow (Figure 1).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[.048, .243]</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[−.167, .556]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[−.086, .265]</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[−.637, .715]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[−.115, .039]</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[−.136, .356]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[−.054, .308]</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[−.862, .881]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[−.097, .080]</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[−.926, .954]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[.105, .298]</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[.111, .252]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[−.117, .178]</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[−.052, .242]</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[−.087, .122]</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[−.088, .093]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[−.015, .148]</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[−.036, .281]</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[−.126, .040]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[−.093, .130]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Note. Δr = change in pooled correlation from the primary analysis. A double dagger (‡) denotes a sensitivity-analysis-induced shift exceeding |Δr| = .05, which is considered potentially influential per the pre-registered threshold. A single dagger (†) denotes a significant Egger test at p &lt; .05. "Exclude Tokiwa (COI)" removes the present author's prior primary study [1]; the zero delta reflects that this study did not contribute a direct r to the primary pool. "Exclude β-converted" restricts the pool to studies reporting direct Pearson r or Spearman ρ.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GRADE Summary of Findings: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[33]. Five standard domains are evaluated per trait: Risk of Bias (mean JBI aggregate score across studies in the pool; serious if mean &lt; 5), Inconsistency (I² and prediction interval; serious if I² &gt; 50%, very serious if I² &gt; 75%), Indirectness (population, exposure, or outcome indirectness relative to the review question), Imprecision (serious if 95% CI crosses the null or is wider than 2 × MOI of |r| = .10), and Publication Bias (serious if Egger's test is significant at p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k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 2020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 2020 statement [19]. Records were identified through WebSearch-based formal search (n = 80 from eight structured queries), preliminary informal search yielding a previously curated corpus (n = 28), and citation snowballing combined with open-access repository downloads (n = 12), for a total of 120 records. After deduplication (n = 40 removed), 80 records underwent title and abstract screening, with 25 excluded primarily for wrong population, non-Big-Five personality frameworks, or no online learning component. Of 43 full-text reports sought, 5 were not retrievable (paywall), and 38 were assessed for eligibility. Eleven reports were excluded at the full-text stage with explicit reasons: non-Big-Five framework (n = 5; MBTI, Proactive Personality, TAM, TUE, and other non-FFM operationalization), face-to-face modality (n = 4; A-09 [53]; A-10 [40]; A-14 [51]; A-16 [54]), sample overlap with an already-included study (n = 1; A-05 [55] overlapped with A-04 [56]), and effect size not extractable (n = 1; A-24 [57], lag sequential analysis). The remaining studies, supplemented by four newly identified primary studies (A-29 [16]; A-30 [34]; A-31 [14]; A-37 [36]), yielded 31 primary studies catalogued in this review (Table 1). Of these, 25 were retained for qualitative synthesis, and 10 contributed direct Pearson correlations or β-converted effect sizes to the primary quantitative achievement pool (with two studies — A-28 [15] and A-30 [34] — providing β-converted effect sizes via Peterson and Brown's, 2005, approximation). The remaining 15 retained studies contributed only to secondary-outcome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