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offers a first, preliminary quantitative synthesis dedicated to online learning environments. Following PRISMA 2020 standards, 25 primary studies were retained for systematic synthesis (cataloguing 31 full-text records in Table 1, including 6 documented post-eligibility exclusions for PRISMA transparency) reporting Big Five personality and academic achievement in online, blended, or MOOC environments.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subgroup contrasts showed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 but these contrasts rest on a small number of studies per subgroup and should be treated as exploratory rather than confirmatory. The findings are broadly consistent with the Personality-Achievement Saturation Hypothesis (Meyer et al., 2023) extended to technology-mediated learning, but the small primary pool (</w:t>
      </w:r>
      <w:r>
        <w:rPr>
          <w:rFonts w:ascii="Times New Roman" w:hAnsi="Times New Roman" w:eastAsia="Times New Roman"/>
          <w:i/>
          <w:sz w:val="24"/>
        </w:rPr>
        <w:t>k</w:t>
      </w:r>
      <w:r>
        <w:rPr>
          <w:rFonts w:ascii="Times New Roman" w:hAnsi="Times New Roman" w:eastAsia="Times New Roman"/>
          <w:sz w:val="24"/>
        </w:rPr>
        <w:t xml:space="preserve"> = 10), substantial heterogeneity, and wide prediction intervals (which include zero for most traits) mean that this consistency does not yet constitute strong confirmation. GRADE confidence ranged from Moderate (Conscientiousness, Extraversion) to Low (Openness, Agreeableness, Neuroticism). The synthesis offers a tentative empirical reference point and identifies a priority research agenda — replication with a larger and more linguistically inclusive corpus, facet-level analyses, and explicit modality contrasts — but the conclusions should not be over-extrapolated to practical pedagogical recommendations on the basis of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primary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primary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primary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primary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primary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primary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